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7"/>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sz w:val="24"/>
          <w:szCs w:val="24"/>
          <w:lang w:val="en-US" w:eastAsia="zh-CN"/>
        </w:rPr>
      </w:pPr>
      <w:bookmarkStart w:id="0" w:name="_Hlt450066085"/>
      <w:bookmarkEnd w:id="0"/>
      <w:bookmarkStart w:id="1" w:name="_Hlt450039480"/>
      <w:bookmarkEnd w:id="1"/>
      <w:bookmarkStart w:id="2" w:name="_Hlt448930105"/>
      <w:bookmarkEnd w:id="2"/>
      <w:bookmarkStart w:id="3" w:name="_Hlt450066087"/>
      <w:bookmarkEnd w:id="3"/>
      <w:bookmarkStart w:id="4" w:name="_Hlt450051172"/>
      <w:bookmarkEnd w:id="4"/>
      <w:bookmarkStart w:id="5" w:name="_Hlt449016246"/>
      <w:bookmarkEnd w:id="5"/>
      <w:bookmarkStart w:id="6" w:name="OLE_LINK111"/>
      <w:r>
        <w:rPr>
          <w:rFonts w:ascii="Arial" w:hAnsi="Arial" w:cs="Arial"/>
          <w:b/>
          <w:sz w:val="24"/>
          <w:szCs w:val="24"/>
        </w:rPr>
        <w:t>3GPP TSG-RAN WG4 Meeting # 1</w:t>
      </w:r>
      <w:r>
        <w:rPr>
          <w:rFonts w:hint="eastAsia" w:ascii="Arial" w:hAnsi="Arial" w:cs="Arial"/>
          <w:b/>
          <w:sz w:val="24"/>
          <w:szCs w:val="24"/>
          <w:lang w:val="en-US" w:eastAsia="zh-CN"/>
        </w:rPr>
        <w:t>12                                    R4-2411886</w:t>
      </w:r>
      <w:bookmarkStart w:id="23" w:name="_GoBack"/>
      <w:bookmarkEnd w:id="23"/>
    </w:p>
    <w:p>
      <w:pPr>
        <w:pStyle w:val="17"/>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r>
        <w:rPr>
          <w:rFonts w:hint="eastAsia" w:ascii="Arial" w:hAnsi="Arial" w:cs="Arial" w:eastAsiaTheme="minorEastAsia"/>
          <w:b/>
          <w:bCs/>
          <w:sz w:val="24"/>
          <w:szCs w:val="24"/>
          <w:lang w:val="en-US" w:eastAsia="zh-CN"/>
        </w:rPr>
        <w:t>Maastricht</w:t>
      </w:r>
      <w:r>
        <w:rPr>
          <w:rFonts w:ascii="Arial" w:hAnsi="Arial" w:cs="Arial"/>
          <w:b/>
          <w:sz w:val="24"/>
          <w:szCs w:val="24"/>
          <w:lang w:eastAsia="zh-CN"/>
        </w:rPr>
        <w:t xml:space="preserve">, </w:t>
      </w:r>
      <w:r>
        <w:rPr>
          <w:rFonts w:hint="eastAsia" w:ascii="Arial" w:hAnsi="Arial" w:cs="Arial"/>
          <w:b/>
          <w:sz w:val="24"/>
          <w:szCs w:val="24"/>
          <w:lang w:val="en-US" w:eastAsia="zh-CN"/>
        </w:rPr>
        <w:t>Netherlands</w:t>
      </w:r>
      <w:r>
        <w:rPr>
          <w:rFonts w:ascii="Arial" w:hAnsi="Arial" w:cs="Arial"/>
          <w:b/>
          <w:sz w:val="24"/>
          <w:szCs w:val="24"/>
          <w:lang w:eastAsia="zh-CN"/>
        </w:rPr>
        <w:t xml:space="preserve">, </w:t>
      </w:r>
      <w:r>
        <w:rPr>
          <w:rFonts w:hint="eastAsia" w:ascii="Arial" w:hAnsi="Arial" w:cs="Arial"/>
          <w:b/>
          <w:sz w:val="24"/>
          <w:szCs w:val="24"/>
          <w:lang w:val="en-US" w:eastAsia="zh-CN"/>
        </w:rPr>
        <w:t xml:space="preserve">Aug.19th </w:t>
      </w:r>
      <w:r>
        <w:rPr>
          <w:rFonts w:ascii="Arial" w:hAnsi="Arial" w:cs="Arial"/>
          <w:b/>
          <w:sz w:val="24"/>
          <w:szCs w:val="24"/>
          <w:lang w:eastAsia="zh-CN"/>
        </w:rPr>
        <w:t xml:space="preserve">– </w:t>
      </w:r>
      <w:r>
        <w:rPr>
          <w:rFonts w:hint="eastAsia" w:ascii="Arial" w:hAnsi="Arial" w:cs="Arial"/>
          <w:b/>
          <w:sz w:val="24"/>
          <w:szCs w:val="24"/>
          <w:lang w:val="en-US" w:eastAsia="zh-CN"/>
        </w:rPr>
        <w:t>23th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17"/>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p>
    <w:p>
      <w:pPr>
        <w:keepNext/>
        <w:keepLines/>
        <w:pageBreakBefore w:val="0"/>
        <w:widowControl w:val="0"/>
        <w:tabs>
          <w:tab w:val="left" w:pos="1985"/>
        </w:tabs>
        <w:kinsoku/>
        <w:wordWrap/>
        <w:topLinePunct w:val="0"/>
        <w:bidi w:val="0"/>
        <w:snapToGrid/>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View on Fragmented carrier</w:t>
      </w:r>
    </w:p>
    <w:p>
      <w:pPr>
        <w:keepNext/>
        <w:keepLines/>
        <w:pageBreakBefore w:val="0"/>
        <w:widowControl w:val="0"/>
        <w:tabs>
          <w:tab w:val="left" w:pos="1985"/>
        </w:tabs>
        <w:kinsoku/>
        <w:wordWrap/>
        <w:topLinePunct w:val="0"/>
        <w:bidi w:val="0"/>
        <w:snapToGrid/>
        <w:spacing w:before="120" w:after="120"/>
        <w:outlineLvl w:val="0"/>
        <w:rPr>
          <w:rStyle w:val="60"/>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60"/>
          <w:rFonts w:hint="eastAsia"/>
          <w:b/>
          <w:highlight w:val="none"/>
        </w:rPr>
        <w:t>ZTE</w:t>
      </w:r>
      <w:r>
        <w:rPr>
          <w:rStyle w:val="60"/>
          <w:rFonts w:hint="eastAsia"/>
          <w:b/>
          <w:highlight w:val="none"/>
          <w:lang w:val="en-US" w:eastAsia="zh-CN"/>
        </w:rPr>
        <w:t xml:space="preserve"> Corporation, Sanechips</w:t>
      </w:r>
    </w:p>
    <w:p>
      <w:pPr>
        <w:keepNext/>
        <w:keepLines/>
        <w:pageBreakBefore w:val="0"/>
        <w:widowControl w:val="0"/>
        <w:tabs>
          <w:tab w:val="left" w:pos="1985"/>
        </w:tabs>
        <w:kinsoku/>
        <w:wordWrap/>
        <w:topLinePunct w:val="0"/>
        <w:bidi w:val="0"/>
        <w:snapToGrid/>
        <w:spacing w:before="120" w:after="120"/>
        <w:outlineLvl w:val="0"/>
        <w:rPr>
          <w:rStyle w:val="60"/>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Style w:val="60"/>
          <w:rFonts w:hint="eastAsia"/>
          <w:b/>
          <w:highlight w:val="none"/>
          <w:lang w:val="en-US" w:eastAsia="zh-CN"/>
        </w:rPr>
        <w:t>8.6.3</w:t>
      </w:r>
    </w:p>
    <w:p>
      <w:pPr>
        <w:keepNext/>
        <w:keepLines/>
        <w:pageBreakBefore w:val="0"/>
        <w:widowControl w:val="0"/>
        <w:tabs>
          <w:tab w:val="left" w:pos="1985"/>
        </w:tabs>
        <w:kinsoku/>
        <w:wordWrap/>
        <w:topLinePunct w:val="0"/>
        <w:bidi w:val="0"/>
        <w:snapToGrid/>
        <w:spacing w:before="120" w:after="120"/>
        <w:ind w:left="1980" w:hanging="1980"/>
        <w:outlineLvl w:val="0"/>
        <w:rPr>
          <w:rStyle w:val="60"/>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keepLines/>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In RAN #104 meeting, a new SID on NR FR1 DL Fragmented Carriers was approved in [1], where the objectives are listed as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kinsoku/>
              <w:wordWrap/>
              <w:overflowPunct w:val="0"/>
              <w:topLinePunct w:val="0"/>
              <w:autoSpaceDE w:val="0"/>
              <w:autoSpaceDN w:val="0"/>
              <w:bidi w:val="0"/>
              <w:adjustRightInd w:val="0"/>
              <w:snapToGrid/>
              <w:spacing w:after="180"/>
              <w:textAlignment w:val="baseline"/>
              <w:rPr>
                <w:iCs/>
                <w:sz w:val="20"/>
                <w:szCs w:val="20"/>
              </w:rPr>
            </w:pPr>
            <w:r>
              <w:rPr>
                <w:iCs/>
                <w:sz w:val="20"/>
                <w:szCs w:val="20"/>
              </w:rPr>
              <w:t>The objective of this study is as follows:</w:t>
            </w:r>
          </w:p>
          <w:p>
            <w:pPr>
              <w:pStyle w:val="47"/>
              <w:keepNext/>
              <w:keepLines/>
              <w:pageBreakBefore w:val="0"/>
              <w:kinsoku/>
              <w:wordWrap/>
              <w:overflowPunct w:val="0"/>
              <w:topLinePunct w:val="0"/>
              <w:autoSpaceDE w:val="0"/>
              <w:autoSpaceDN w:val="0"/>
              <w:bidi w:val="0"/>
              <w:adjustRightInd w:val="0"/>
              <w:snapToGrid/>
              <w:spacing w:after="180"/>
              <w:textAlignment w:val="baseline"/>
              <w:rPr>
                <w:sz w:val="20"/>
                <w:szCs w:val="20"/>
              </w:rPr>
            </w:pPr>
            <w:r>
              <w:rPr>
                <w:sz w:val="20"/>
                <w:szCs w:val="20"/>
              </w:rPr>
              <w:t>-</w:t>
            </w:r>
            <w:r>
              <w:rPr>
                <w:sz w:val="20"/>
                <w:szCs w:val="20"/>
              </w:rPr>
              <w:tab/>
            </w:r>
            <w:bookmarkStart w:id="7" w:name="OLE_LINK3"/>
            <w:r>
              <w:rPr>
                <w:rFonts w:hint="eastAsia"/>
                <w:sz w:val="20"/>
                <w:szCs w:val="20"/>
              </w:rPr>
              <w:t xml:space="preserve">Identify methods for </w:t>
            </w:r>
            <w:bookmarkStart w:id="8" w:name="OLE_LINK4"/>
            <w:r>
              <w:rPr>
                <w:rFonts w:hint="eastAsia"/>
                <w:sz w:val="20"/>
                <w:szCs w:val="20"/>
              </w:rPr>
              <w:t>reducing</w:t>
            </w:r>
            <w:r>
              <w:rPr>
                <w:sz w:val="20"/>
                <w:szCs w:val="20"/>
              </w:rPr>
              <w:t xml:space="preserve"> the</w:t>
            </w:r>
            <w:r>
              <w:rPr>
                <w:rFonts w:hint="eastAsia"/>
                <w:sz w:val="20"/>
                <w:szCs w:val="20"/>
              </w:rPr>
              <w:t xml:space="preserve"> number of UE Rx chains</w:t>
            </w:r>
            <w:bookmarkEnd w:id="8"/>
            <w:r>
              <w:rPr>
                <w:rFonts w:hint="eastAsia"/>
                <w:sz w:val="20"/>
                <w:szCs w:val="20"/>
              </w:rPr>
              <w:t xml:space="preserve"> (e.g. </w:t>
            </w:r>
            <w:r>
              <w:rPr>
                <w:sz w:val="20"/>
                <w:szCs w:val="20"/>
              </w:rPr>
              <w:t xml:space="preserve">from separate RF chains per CC to shared RF chains </w:t>
            </w:r>
            <w:r>
              <w:rPr>
                <w:rFonts w:hint="eastAsia"/>
                <w:sz w:val="20"/>
                <w:szCs w:val="20"/>
              </w:rPr>
              <w:t xml:space="preserve">) needed for single DL band </w:t>
            </w:r>
            <w:r>
              <w:rPr>
                <w:sz w:val="20"/>
                <w:szCs w:val="20"/>
              </w:rPr>
              <w:t>with</w:t>
            </w:r>
            <w:r>
              <w:rPr>
                <w:color w:val="auto"/>
                <w:sz w:val="20"/>
                <w:szCs w:val="20"/>
              </w:rPr>
              <w:t xml:space="preserve"> frequency span</w:t>
            </w:r>
            <w:r>
              <w:rPr>
                <w:rFonts w:hint="eastAsia"/>
                <w:color w:val="auto"/>
                <w:sz w:val="20"/>
                <w:szCs w:val="20"/>
              </w:rPr>
              <w:t xml:space="preserve"> ≤ 100 MHz</w:t>
            </w:r>
            <w:r>
              <w:rPr>
                <w:color w:val="auto"/>
                <w:sz w:val="20"/>
                <w:szCs w:val="20"/>
              </w:rPr>
              <w:t>,</w:t>
            </w:r>
            <w:r>
              <w:rPr>
                <w:rFonts w:hint="eastAsia"/>
                <w:color w:val="auto"/>
                <w:sz w:val="20"/>
                <w:szCs w:val="20"/>
              </w:rPr>
              <w:t xml:space="preserve"> containing two non-contiguous CCs </w:t>
            </w:r>
            <w:r>
              <w:rPr>
                <w:rFonts w:hint="eastAsia"/>
                <w:sz w:val="20"/>
                <w:szCs w:val="20"/>
              </w:rPr>
              <w:t xml:space="preserve">within a CA combination for the inter-operator co-located scenario, considering: </w:t>
            </w:r>
            <w:bookmarkEnd w:id="7"/>
          </w:p>
          <w:p>
            <w:pPr>
              <w:pStyle w:val="51"/>
              <w:keepNext/>
              <w:keepLines/>
              <w:pageBreakBefore w:val="0"/>
              <w:kinsoku/>
              <w:wordWrap/>
              <w:overflowPunct w:val="0"/>
              <w:topLinePunct w:val="0"/>
              <w:autoSpaceDE w:val="0"/>
              <w:autoSpaceDN w:val="0"/>
              <w:bidi w:val="0"/>
              <w:adjustRightInd w:val="0"/>
              <w:snapToGrid/>
              <w:spacing w:after="180"/>
              <w:textAlignment w:val="baseline"/>
              <w:rPr>
                <w:sz w:val="20"/>
                <w:szCs w:val="20"/>
              </w:rPr>
            </w:pPr>
            <w:bookmarkStart w:id="9" w:name="OLE_LINK13"/>
            <w:r>
              <w:rPr>
                <w:sz w:val="20"/>
                <w:szCs w:val="20"/>
              </w:rPr>
              <w:t>-</w:t>
            </w:r>
            <w:r>
              <w:rPr>
                <w:sz w:val="20"/>
                <w:szCs w:val="20"/>
              </w:rPr>
              <w:tab/>
            </w:r>
            <w:r>
              <w:rPr>
                <w:sz w:val="20"/>
                <w:szCs w:val="20"/>
              </w:rPr>
              <w:t xml:space="preserve">Which RF requirements could be adjusted for the inter-operator co-located BS scenario, e.g. existing UE RF requirements such as </w:t>
            </w:r>
            <w:r>
              <w:rPr>
                <w:rFonts w:cs="Arial"/>
                <w:sz w:val="20"/>
                <w:szCs w:val="20"/>
              </w:rPr>
              <w:t>ΔR</w:t>
            </w:r>
            <w:r>
              <w:rPr>
                <w:rFonts w:cs="Arial"/>
                <w:sz w:val="20"/>
                <w:szCs w:val="20"/>
                <w:vertAlign w:val="subscript"/>
              </w:rPr>
              <w:t>IBNC</w:t>
            </w:r>
            <w:r>
              <w:rPr>
                <w:sz w:val="20"/>
                <w:szCs w:val="20"/>
                <w:lang w:eastAsia="zh-CN"/>
              </w:rPr>
              <w:t xml:space="preserve">, </w:t>
            </w:r>
            <w:r>
              <w:rPr>
                <w:sz w:val="20"/>
                <w:szCs w:val="20"/>
              </w:rPr>
              <w:t xml:space="preserve">ACS </w:t>
            </w:r>
            <w:r>
              <w:rPr>
                <w:sz w:val="20"/>
                <w:szCs w:val="20"/>
                <w:lang w:eastAsia="zh-CN"/>
              </w:rPr>
              <w:t>and in-band blocking</w:t>
            </w:r>
            <w:r>
              <w:rPr>
                <w:sz w:val="20"/>
                <w:szCs w:val="20"/>
              </w:rPr>
              <w:t xml:space="preserve"> [RAN4];</w:t>
            </w:r>
          </w:p>
          <w:p>
            <w:pPr>
              <w:pStyle w:val="51"/>
              <w:keepNext/>
              <w:keepLines/>
              <w:pageBreakBefore w:val="0"/>
              <w:numPr>
                <w:ilvl w:val="0"/>
                <w:numId w:val="7"/>
              </w:numPr>
              <w:kinsoku/>
              <w:wordWrap/>
              <w:overflowPunct w:val="0"/>
              <w:topLinePunct w:val="0"/>
              <w:autoSpaceDE w:val="0"/>
              <w:autoSpaceDN w:val="0"/>
              <w:bidi w:val="0"/>
              <w:adjustRightInd w:val="0"/>
              <w:snapToGrid/>
              <w:spacing w:after="180"/>
              <w:textAlignment w:val="auto"/>
              <w:rPr>
                <w:sz w:val="20"/>
                <w:szCs w:val="20"/>
              </w:rPr>
            </w:pPr>
            <w:r>
              <w:rPr>
                <w:sz w:val="20"/>
                <w:szCs w:val="20"/>
              </w:rPr>
              <w:t>Other requirements are not precluded, if identified</w:t>
            </w:r>
          </w:p>
          <w:bookmarkEnd w:id="9"/>
          <w:p>
            <w:pPr>
              <w:pStyle w:val="51"/>
              <w:keepNext/>
              <w:keepLines/>
              <w:pageBreakBefore w:val="0"/>
              <w:kinsoku/>
              <w:wordWrap/>
              <w:overflowPunct w:val="0"/>
              <w:topLinePunct w:val="0"/>
              <w:autoSpaceDE w:val="0"/>
              <w:autoSpaceDN w:val="0"/>
              <w:bidi w:val="0"/>
              <w:adjustRightInd w:val="0"/>
              <w:snapToGrid/>
              <w:spacing w:after="180"/>
              <w:textAlignment w:val="baseline"/>
              <w:rPr>
                <w:sz w:val="20"/>
                <w:szCs w:val="20"/>
              </w:rPr>
            </w:pPr>
            <w:bookmarkStart w:id="10" w:name="OLE_LINK14"/>
            <w:r>
              <w:rPr>
                <w:sz w:val="20"/>
                <w:szCs w:val="20"/>
              </w:rPr>
              <w:t>-</w:t>
            </w:r>
            <w:r>
              <w:rPr>
                <w:sz w:val="20"/>
                <w:szCs w:val="20"/>
              </w:rPr>
              <w:tab/>
            </w:r>
            <w:r>
              <w:rPr>
                <w:sz w:val="20"/>
                <w:szCs w:val="20"/>
              </w:rPr>
              <w:t>The ability to semi-statically switch hardware resources (i.e. Rx chains) [RAN4, RAN2 – See note 2];</w:t>
            </w:r>
          </w:p>
          <w:bookmarkEnd w:id="10"/>
          <w:p>
            <w:pPr>
              <w:pStyle w:val="51"/>
              <w:keepNext/>
              <w:keepLines/>
              <w:pageBreakBefore w:val="0"/>
              <w:kinsoku/>
              <w:wordWrap/>
              <w:overflowPunct w:val="0"/>
              <w:topLinePunct w:val="0"/>
              <w:autoSpaceDE w:val="0"/>
              <w:autoSpaceDN w:val="0"/>
              <w:bidi w:val="0"/>
              <w:adjustRightInd w:val="0"/>
              <w:snapToGrid/>
              <w:spacing w:after="180"/>
              <w:textAlignment w:val="baseline"/>
              <w:rPr>
                <w:sz w:val="20"/>
                <w:szCs w:val="20"/>
              </w:rPr>
            </w:pPr>
            <w:bookmarkStart w:id="11" w:name="OLE_LINK15"/>
            <w:r>
              <w:rPr>
                <w:sz w:val="20"/>
                <w:szCs w:val="20"/>
              </w:rPr>
              <w:t>-</w:t>
            </w:r>
            <w:r>
              <w:rPr>
                <w:sz w:val="20"/>
                <w:szCs w:val="20"/>
              </w:rPr>
              <w:tab/>
            </w:r>
            <w:r>
              <w:rPr>
                <w:sz w:val="20"/>
                <w:szCs w:val="20"/>
              </w:rPr>
              <w:t xml:space="preserve">Up to 6 dB DL received power </w:t>
            </w:r>
            <w:r>
              <w:rPr>
                <w:rFonts w:hint="eastAsia" w:eastAsia="PMingLiU"/>
                <w:sz w:val="20"/>
                <w:szCs w:val="20"/>
                <w:lang w:eastAsia="zh-TW"/>
              </w:rPr>
              <w:t>s</w:t>
            </w:r>
            <w:r>
              <w:rPr>
                <w:rFonts w:eastAsia="PMingLiU"/>
                <w:sz w:val="20"/>
                <w:szCs w:val="20"/>
                <w:lang w:eastAsia="zh-TW"/>
              </w:rPr>
              <w:t>pectral density</w:t>
            </w:r>
            <w:r>
              <w:rPr>
                <w:sz w:val="20"/>
                <w:szCs w:val="20"/>
              </w:rPr>
              <w:t xml:space="preserve"> imbalance between the two non-contiguous CCs [RAN4];</w:t>
            </w:r>
          </w:p>
          <w:bookmarkEnd w:id="11"/>
          <w:p>
            <w:pPr>
              <w:pStyle w:val="51"/>
              <w:keepNext/>
              <w:keepLines/>
              <w:pageBreakBefore w:val="0"/>
              <w:kinsoku/>
              <w:wordWrap/>
              <w:overflowPunct w:val="0"/>
              <w:topLinePunct w:val="0"/>
              <w:autoSpaceDE w:val="0"/>
              <w:autoSpaceDN w:val="0"/>
              <w:bidi w:val="0"/>
              <w:adjustRightInd w:val="0"/>
              <w:snapToGrid/>
              <w:spacing w:after="180"/>
              <w:textAlignment w:val="baseline"/>
              <w:rPr>
                <w:rFonts w:hint="eastAsia" w:eastAsia="宋体"/>
                <w:sz w:val="20"/>
                <w:szCs w:val="20"/>
                <w:lang w:val="en-US" w:eastAsia="zh-CN"/>
              </w:rPr>
            </w:pPr>
            <w:bookmarkStart w:id="12" w:name="OLE_LINK16"/>
            <w:r>
              <w:rPr>
                <w:sz w:val="20"/>
                <w:szCs w:val="20"/>
              </w:rPr>
              <w:t>-</w:t>
            </w:r>
            <w:r>
              <w:rPr>
                <w:sz w:val="20"/>
                <w:szCs w:val="20"/>
              </w:rPr>
              <w:tab/>
            </w:r>
            <w:r>
              <w:rPr>
                <w:sz w:val="20"/>
                <w:szCs w:val="20"/>
              </w:rPr>
              <w:t xml:space="preserve">Determine a reasonable level for the power </w:t>
            </w:r>
            <w:r>
              <w:rPr>
                <w:rFonts w:eastAsia="PMingLiU"/>
                <w:sz w:val="20"/>
                <w:szCs w:val="20"/>
                <w:lang w:eastAsia="zh-TW"/>
              </w:rPr>
              <w:t>spectral density</w:t>
            </w:r>
            <w:r>
              <w:rPr>
                <w:sz w:val="20"/>
                <w:szCs w:val="20"/>
              </w:rPr>
              <w:t xml:space="preserve"> difference between carriers of co-located adjacent channel operators for study [RAN4]</w:t>
            </w:r>
            <w:r>
              <w:rPr>
                <w:rFonts w:hint="eastAsia"/>
                <w:sz w:val="20"/>
                <w:szCs w:val="20"/>
                <w:lang w:val="en-US" w:eastAsia="zh-CN"/>
              </w:rPr>
              <w:t>;</w:t>
            </w:r>
          </w:p>
          <w:bookmarkEnd w:id="12"/>
          <w:p>
            <w:pPr>
              <w:pStyle w:val="51"/>
              <w:keepNext/>
              <w:keepLines/>
              <w:pageBreakBefore w:val="0"/>
              <w:kinsoku/>
              <w:wordWrap/>
              <w:overflowPunct w:val="0"/>
              <w:topLinePunct w:val="0"/>
              <w:autoSpaceDE w:val="0"/>
              <w:autoSpaceDN w:val="0"/>
              <w:bidi w:val="0"/>
              <w:adjustRightInd w:val="0"/>
              <w:snapToGrid/>
              <w:spacing w:after="180"/>
              <w:textAlignment w:val="baseline"/>
              <w:rPr>
                <w:sz w:val="20"/>
                <w:szCs w:val="20"/>
              </w:rPr>
            </w:pPr>
            <w:bookmarkStart w:id="13" w:name="OLE_LINK17"/>
            <w:r>
              <w:rPr>
                <w:sz w:val="20"/>
                <w:szCs w:val="20"/>
              </w:rPr>
              <w:t>-</w:t>
            </w:r>
            <w:r>
              <w:rPr>
                <w:sz w:val="20"/>
                <w:szCs w:val="20"/>
              </w:rPr>
              <w:tab/>
            </w:r>
            <w:r>
              <w:rPr>
                <w:sz w:val="20"/>
                <w:szCs w:val="20"/>
              </w:rPr>
              <w:t>Impacts on DL performance [RAN4] ;</w:t>
            </w:r>
          </w:p>
          <w:bookmarkEnd w:id="13"/>
          <w:p>
            <w:pPr>
              <w:pStyle w:val="51"/>
              <w:keepNext/>
              <w:keepLines/>
              <w:pageBreakBefore w:val="0"/>
              <w:kinsoku/>
              <w:wordWrap/>
              <w:overflowPunct w:val="0"/>
              <w:topLinePunct w:val="0"/>
              <w:autoSpaceDE w:val="0"/>
              <w:autoSpaceDN w:val="0"/>
              <w:bidi w:val="0"/>
              <w:adjustRightInd w:val="0"/>
              <w:snapToGrid/>
              <w:spacing w:after="180"/>
              <w:textAlignment w:val="baseline"/>
              <w:rPr>
                <w:rFonts w:hint="default" w:ascii="Times New Roman" w:hAnsi="Times New Roman" w:cs="Times New Roman"/>
                <w:sz w:val="20"/>
                <w:szCs w:val="20"/>
                <w:lang w:val="en-US" w:eastAsia="zh-CN"/>
              </w:rPr>
            </w:pPr>
            <w:bookmarkStart w:id="14" w:name="OLE_LINK1"/>
            <w:r>
              <w:rPr>
                <w:sz w:val="20"/>
                <w:szCs w:val="20"/>
              </w:rPr>
              <w:t>-</w:t>
            </w:r>
            <w:r>
              <w:rPr>
                <w:sz w:val="20"/>
                <w:szCs w:val="20"/>
              </w:rPr>
              <w:tab/>
            </w:r>
            <w:bookmarkEnd w:id="14"/>
            <w:r>
              <w:rPr>
                <w:sz w:val="20"/>
                <w:szCs w:val="20"/>
              </w:rPr>
              <w:t>Means for a UE to inform the network of appropriate CA configuration it can support with adjusted RF requirements [RAN4, RAN2 – See note 2].</w:t>
            </w:r>
          </w:p>
        </w:tc>
      </w:tr>
    </w:tbl>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eastAsia="宋体" w:cs="Times New Roman"/>
          <w:sz w:val="20"/>
          <w:szCs w:val="20"/>
          <w:lang w:val="en-US" w:eastAsia="zh-CN"/>
        </w:rPr>
        <w:t xml:space="preserve">In this contribution, </w:t>
      </w:r>
      <w:bookmarkStart w:id="15" w:name="OLE_LINK18"/>
      <w:r>
        <w:rPr>
          <w:rFonts w:hint="eastAsia" w:eastAsia="宋体" w:cs="Times New Roman"/>
          <w:sz w:val="20"/>
          <w:szCs w:val="20"/>
          <w:lang w:val="en-US" w:eastAsia="zh-CN"/>
        </w:rPr>
        <w:t>we give some initial discussions on</w:t>
      </w:r>
      <w:r>
        <w:rPr>
          <w:rFonts w:hint="eastAsia" w:cs="Times New Roman"/>
          <w:sz w:val="20"/>
          <w:szCs w:val="20"/>
          <w:lang w:val="en-US" w:eastAsia="zh-CN"/>
        </w:rPr>
        <w:t xml:space="preserve"> </w:t>
      </w:r>
      <w:r>
        <w:rPr>
          <w:rFonts w:hint="eastAsia"/>
          <w:bCs/>
          <w:kern w:val="0"/>
          <w:sz w:val="21"/>
          <w:szCs w:val="21"/>
          <w:highlight w:val="none"/>
          <w:lang w:val="en-US" w:eastAsia="zh-CN"/>
        </w:rPr>
        <w:t>fragment carriers by reducing the Rx chain</w:t>
      </w:r>
      <w:r>
        <w:rPr>
          <w:rFonts w:hint="eastAsia" w:eastAsia="宋体" w:cs="Times New Roman"/>
          <w:sz w:val="20"/>
          <w:szCs w:val="20"/>
          <w:lang w:val="en-US" w:eastAsia="zh-CN"/>
        </w:rPr>
        <w:t>.</w:t>
      </w:r>
      <w:bookmarkEnd w:id="15"/>
      <w:r>
        <w:rPr>
          <w:rFonts w:hint="eastAsia" w:eastAsia="宋体" w:cs="Times New Roman"/>
          <w:sz w:val="20"/>
          <w:szCs w:val="20"/>
          <w:lang w:val="en-US" w:eastAsia="zh-CN"/>
        </w:rPr>
        <w:t xml:space="preserve"> </w:t>
      </w:r>
    </w:p>
    <w:p>
      <w:pPr>
        <w:keepNext/>
        <w:keepLines/>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val="0"/>
        <w:suppressLineNumbers w:val="0"/>
        <w:kinsoku/>
        <w:wordWrap/>
        <w:topLinePunct w:val="0"/>
        <w:bidi w:val="0"/>
        <w:snapToGrid/>
        <w:jc w:val="left"/>
        <w:rPr>
          <w:rFonts w:hint="default" w:cs="Times New Roman"/>
          <w:b w:val="0"/>
          <w:bCs w:val="0"/>
          <w:kern w:val="0"/>
          <w:sz w:val="20"/>
          <w:szCs w:val="20"/>
          <w:highlight w:val="none"/>
          <w:lang w:val="en-US" w:eastAsia="zh-CN"/>
        </w:rPr>
      </w:pPr>
      <w:bookmarkStart w:id="16" w:name="OLE_LINK38"/>
      <w:bookmarkStart w:id="17" w:name="OLE_LINK48"/>
      <w:bookmarkStart w:id="18" w:name="OLE_LINK66"/>
      <w:bookmarkStart w:id="19" w:name="OLE_LINK23"/>
      <w:r>
        <w:rPr>
          <w:rFonts w:hint="eastAsia" w:cs="Times New Roman"/>
          <w:b w:val="0"/>
          <w:bCs w:val="0"/>
          <w:kern w:val="0"/>
          <w:sz w:val="20"/>
          <w:szCs w:val="20"/>
          <w:highlight w:val="none"/>
          <w:lang w:val="en-US" w:eastAsia="zh-CN"/>
        </w:rPr>
        <w:t>In terms of the objectives in the SID, the scenario mainly focus on the intra-band non-contiguous DL CA with 2CC configured (i.e. DL CA_nX(2A)), where the frequency span for the DL band is restricted to 100MHz. However, there are no example CA combination mentioned in the SID. Noted that we interprated the frequency span</w:t>
      </w:r>
      <w:r>
        <w:rPr>
          <w:rFonts w:hint="default" w:ascii="Arial" w:hAnsi="Arial" w:cs="Arial"/>
          <w:b w:val="0"/>
          <w:bCs w:val="0"/>
          <w:kern w:val="0"/>
          <w:sz w:val="20"/>
          <w:szCs w:val="20"/>
          <w:highlight w:val="none"/>
          <w:lang w:val="en-US" w:eastAsia="zh-CN"/>
        </w:rPr>
        <w:t>≤</w:t>
      </w:r>
      <w:r>
        <w:rPr>
          <w:rFonts w:hint="eastAsia" w:cs="Times New Roman"/>
          <w:b w:val="0"/>
          <w:bCs w:val="0"/>
          <w:kern w:val="0"/>
          <w:sz w:val="20"/>
          <w:szCs w:val="20"/>
          <w:highlight w:val="none"/>
          <w:lang w:val="en-US" w:eastAsia="zh-CN"/>
        </w:rPr>
        <w:t>100MHz is for the whole DL band, rather than for the outermost two CCs.</w:t>
      </w:r>
    </w:p>
    <w:p>
      <w:pPr>
        <w:keepNext/>
        <w:keepLines/>
        <w:pageBreakBefore w:val="0"/>
        <w:widowControl w:val="0"/>
        <w:suppressLineNumbers w:val="0"/>
        <w:kinsoku/>
        <w:wordWrap/>
        <w:topLinePunct w:val="0"/>
        <w:bidi w:val="0"/>
        <w:snapToGrid/>
        <w:jc w:val="left"/>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It is well known that the DL frequency range of almost all of the FDD band are smaller than 100MHz. However, there are few of TDD band such as band n39 and band n40 whose frequency range is also smaller than or equal to 100MHz. Although the bands operated as intra-band non-contiguous CA configurations meet the above conditions are all FDD bands in the latest TS38.101-1, the DL CA_n39(2A) and DL CA_n40(2A) are requested in the R19 basket WID[2] by operator. Therefore, both TDD and FDD intra-band DL contiguous CA should be included in this SID.</w:t>
      </w:r>
    </w:p>
    <w:p>
      <w:pPr>
        <w:keepNext/>
        <w:keepLines/>
        <w:pageBreakBefore w:val="0"/>
        <w:widowControl w:val="0"/>
        <w:suppressLineNumbers w:val="0"/>
        <w:kinsoku/>
        <w:wordWrap/>
        <w:topLinePunct w:val="0"/>
        <w:bidi w:val="0"/>
        <w:snapToGrid/>
        <w:jc w:val="left"/>
        <w:rPr>
          <w:rFonts w:hint="eastAsia" w:cs="Times New Roman"/>
          <w:b w:val="0"/>
          <w:bCs w:val="0"/>
          <w:kern w:val="0"/>
          <w:sz w:val="20"/>
          <w:szCs w:val="20"/>
          <w:highlight w:val="none"/>
          <w:lang w:val="en-US" w:eastAsia="zh-CN"/>
        </w:rPr>
      </w:pPr>
      <w:r>
        <w:rPr>
          <w:rFonts w:hint="eastAsia" w:cs="Times New Roman"/>
          <w:b/>
          <w:bCs/>
          <w:i w:val="0"/>
          <w:iCs w:val="0"/>
          <w:kern w:val="0"/>
          <w:sz w:val="20"/>
          <w:szCs w:val="20"/>
          <w:highlight w:val="none"/>
          <w:lang w:val="en-US" w:eastAsia="zh-CN"/>
        </w:rPr>
        <w:t>Proposal 1. Both TDD and FDD intra-band DL contiguous CA should be included.</w:t>
      </w:r>
      <w:bookmarkEnd w:id="16"/>
      <w:bookmarkEnd w:id="17"/>
      <w:bookmarkStart w:id="20" w:name="OLE_LINK42"/>
      <w:bookmarkStart w:id="21" w:name="OLE_LINK30"/>
    </w:p>
    <w:p>
      <w:pPr>
        <w:keepNext/>
        <w:keepLines/>
        <w:pageBreakBefore w:val="0"/>
        <w:widowControl w:val="0"/>
        <w:suppressLineNumbers w:val="0"/>
        <w:kinsoku/>
        <w:wordWrap/>
        <w:topLinePunct w:val="0"/>
        <w:bidi w:val="0"/>
        <w:snapToGrid/>
        <w:jc w:val="left"/>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For FDD band intra-band non-contiguous CA, the UL Tx noise caused by Tx chain/PA leakage and Tx spectrum spreading into DL Rx path shall be taken into account since the duplexer gap for some FDD bands are small, and such small duplexer gap cannot provide enough attenuation for the filters design. The UL Tx noise falls into DL Rx associated with its own Rx IIP2 will cause the REFSENS degradation. In the TS38.101-1, such degradation is given as </w:t>
      </w:r>
      <w:r>
        <w:rPr>
          <w:rFonts w:hint="default" w:ascii="Times New Roman" w:hAnsi="Times New Roman" w:cs="Times New Roman"/>
          <w:b w:val="0"/>
          <w:bCs w:val="0"/>
          <w:kern w:val="0"/>
          <w:sz w:val="20"/>
          <w:szCs w:val="20"/>
          <w:highlight w:val="none"/>
          <w:lang w:val="en-US" w:eastAsia="zh-CN"/>
        </w:rPr>
        <w:t>ΔR</w:t>
      </w:r>
      <w:r>
        <w:rPr>
          <w:rFonts w:hint="default" w:ascii="Times New Roman" w:hAnsi="Times New Roman" w:cs="Times New Roman"/>
          <w:b w:val="0"/>
          <w:bCs w:val="0"/>
          <w:kern w:val="0"/>
          <w:sz w:val="20"/>
          <w:szCs w:val="20"/>
          <w:highlight w:val="none"/>
          <w:vertAlign w:val="subscript"/>
          <w:lang w:val="en-US" w:eastAsia="zh-CN"/>
        </w:rPr>
        <w:t>IBNC</w:t>
      </w:r>
      <w:r>
        <w:rPr>
          <w:rFonts w:hint="eastAsia" w:cs="Times New Roman"/>
          <w:b w:val="0"/>
          <w:bCs w:val="0"/>
          <w:kern w:val="0"/>
          <w:sz w:val="20"/>
          <w:szCs w:val="20"/>
          <w:highlight w:val="none"/>
          <w:vertAlign w:val="subscript"/>
          <w:lang w:val="en-US" w:eastAsia="zh-CN"/>
        </w:rPr>
        <w:t xml:space="preserve"> </w:t>
      </w:r>
      <w:r>
        <w:rPr>
          <w:rFonts w:hint="eastAsia" w:cs="Times New Roman"/>
          <w:b w:val="0"/>
          <w:bCs w:val="0"/>
          <w:kern w:val="0"/>
          <w:sz w:val="20"/>
          <w:szCs w:val="20"/>
          <w:highlight w:val="none"/>
          <w:lang w:val="en-US" w:eastAsia="zh-CN"/>
        </w:rPr>
        <w:t>requirements for FDD intra-band non-contiguous CA, including one UL PCC configuration and PCC+SCC UL configuration.</w:t>
      </w:r>
    </w:p>
    <w:p>
      <w:pPr>
        <w:keepNext/>
        <w:keepLines/>
        <w:pageBreakBefore w:val="0"/>
        <w:widowControl w:val="0"/>
        <w:suppressLineNumbers w:val="0"/>
        <w:kinsoku/>
        <w:wordWrap/>
        <w:topLinePunct w:val="0"/>
        <w:bidi w:val="0"/>
        <w:snapToGrid/>
        <w:jc w:val="left"/>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However, unlike FDD, there is no duplexer gap for TDD band, so there are no </w:t>
      </w:r>
      <w:r>
        <w:rPr>
          <w:rFonts w:hint="default" w:ascii="Times New Roman" w:hAnsi="Times New Roman" w:cs="Times New Roman"/>
          <w:b w:val="0"/>
          <w:bCs w:val="0"/>
          <w:kern w:val="0"/>
          <w:sz w:val="20"/>
          <w:szCs w:val="20"/>
          <w:highlight w:val="none"/>
          <w:lang w:val="en-US" w:eastAsia="zh-CN"/>
        </w:rPr>
        <w:t>ΔR</w:t>
      </w:r>
      <w:r>
        <w:rPr>
          <w:rFonts w:hint="default" w:ascii="Times New Roman" w:hAnsi="Times New Roman" w:cs="Times New Roman"/>
          <w:b w:val="0"/>
          <w:bCs w:val="0"/>
          <w:kern w:val="0"/>
          <w:sz w:val="20"/>
          <w:szCs w:val="20"/>
          <w:highlight w:val="none"/>
          <w:vertAlign w:val="subscript"/>
          <w:lang w:val="en-US" w:eastAsia="zh-CN"/>
        </w:rPr>
        <w:t>IBNC</w:t>
      </w:r>
      <w:r>
        <w:rPr>
          <w:rFonts w:hint="eastAsia" w:cs="Times New Roman"/>
          <w:b w:val="0"/>
          <w:bCs w:val="0"/>
          <w:kern w:val="0"/>
          <w:sz w:val="20"/>
          <w:szCs w:val="20"/>
          <w:highlight w:val="none"/>
          <w:vertAlign w:val="subscript"/>
          <w:lang w:val="en-US" w:eastAsia="zh-CN"/>
        </w:rPr>
        <w:t xml:space="preserve"> </w:t>
      </w:r>
      <w:r>
        <w:rPr>
          <w:rFonts w:hint="eastAsia" w:cs="Times New Roman"/>
          <w:b w:val="0"/>
          <w:bCs w:val="0"/>
          <w:kern w:val="0"/>
          <w:sz w:val="20"/>
          <w:szCs w:val="20"/>
          <w:highlight w:val="none"/>
          <w:lang w:val="en-US" w:eastAsia="zh-CN"/>
        </w:rPr>
        <w:t>requirements defined for TDD intra-band non-contiguous CA.</w:t>
      </w:r>
    </w:p>
    <w:p>
      <w:pPr>
        <w:keepNext/>
        <w:keepLines/>
        <w:pageBreakBefore w:val="0"/>
        <w:widowControl w:val="0"/>
        <w:suppressLineNumbers w:val="0"/>
        <w:kinsoku/>
        <w:wordWrap/>
        <w:topLinePunct w:val="0"/>
        <w:bidi w:val="0"/>
        <w:snapToGrid/>
        <w:jc w:val="left"/>
        <w:rPr>
          <w:rFonts w:hint="eastAsia" w:cs="Times New Roman"/>
          <w:b/>
          <w:bCs/>
          <w:kern w:val="0"/>
          <w:sz w:val="20"/>
          <w:szCs w:val="20"/>
          <w:highlight w:val="none"/>
          <w:lang w:val="en-US" w:eastAsia="zh-CN"/>
        </w:rPr>
      </w:pPr>
      <w:r>
        <w:rPr>
          <w:rFonts w:hint="eastAsia" w:cs="Times New Roman"/>
          <w:b/>
          <w:bCs/>
          <w:i w:val="0"/>
          <w:iCs w:val="0"/>
          <w:kern w:val="0"/>
          <w:sz w:val="20"/>
          <w:szCs w:val="20"/>
          <w:highlight w:val="none"/>
          <w:lang w:val="en-US" w:eastAsia="zh-CN"/>
        </w:rPr>
        <w:t xml:space="preserve">Observation 1. No </w:t>
      </w:r>
      <w:r>
        <w:rPr>
          <w:rFonts w:hint="default" w:ascii="Times New Roman" w:hAnsi="Times New Roman" w:cs="Times New Roman"/>
          <w:b/>
          <w:bCs/>
          <w:kern w:val="0"/>
          <w:sz w:val="20"/>
          <w:szCs w:val="20"/>
          <w:highlight w:val="none"/>
          <w:lang w:val="en-US" w:eastAsia="zh-CN"/>
        </w:rPr>
        <w:t>ΔR</w:t>
      </w:r>
      <w:r>
        <w:rPr>
          <w:rFonts w:hint="default" w:ascii="Times New Roman" w:hAnsi="Times New Roman" w:cs="Times New Roman"/>
          <w:b/>
          <w:bCs/>
          <w:kern w:val="0"/>
          <w:sz w:val="20"/>
          <w:szCs w:val="20"/>
          <w:highlight w:val="none"/>
          <w:vertAlign w:val="subscript"/>
          <w:lang w:val="en-US" w:eastAsia="zh-CN"/>
        </w:rPr>
        <w:t>IBNC</w:t>
      </w:r>
      <w:r>
        <w:rPr>
          <w:rFonts w:hint="eastAsia" w:cs="Times New Roman"/>
          <w:b/>
          <w:bCs/>
          <w:kern w:val="0"/>
          <w:sz w:val="20"/>
          <w:szCs w:val="20"/>
          <w:highlight w:val="none"/>
          <w:vertAlign w:val="subscript"/>
          <w:lang w:val="en-US" w:eastAsia="zh-CN"/>
        </w:rPr>
        <w:t xml:space="preserve"> </w:t>
      </w:r>
      <w:r>
        <w:rPr>
          <w:rFonts w:hint="eastAsia" w:cs="Times New Roman"/>
          <w:b/>
          <w:bCs/>
          <w:kern w:val="0"/>
          <w:sz w:val="20"/>
          <w:szCs w:val="20"/>
          <w:highlight w:val="none"/>
          <w:lang w:val="en-US" w:eastAsia="zh-CN"/>
        </w:rPr>
        <w:t>requirements defined for TDD intra-band non-contiguous CA.</w:t>
      </w:r>
    </w:p>
    <w:p>
      <w:pPr>
        <w:keepNext/>
        <w:keepLines/>
        <w:pageBreakBefore w:val="0"/>
        <w:widowControl w:val="0"/>
        <w:suppressLineNumbers w:val="0"/>
        <w:kinsoku/>
        <w:wordWrap/>
        <w:topLinePunct w:val="0"/>
        <w:bidi w:val="0"/>
        <w:snapToGrid/>
        <w:jc w:val="left"/>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In current TS38.101-1 spec, the Rx requirements for intra-band non-contiguous CA are derived based on the separate Rx chain assumption, which is one Rx chain corresponding to one CC handling. This approach comes from LTE. In our understanding, separate Rx chain means there are separate LO and filter for each CC handling. An example for </w:t>
      </w:r>
      <w:r>
        <w:rPr>
          <w:rFonts w:hint="eastAsia"/>
          <w:sz w:val="20"/>
          <w:szCs w:val="20"/>
          <w:lang w:val="en-US" w:eastAsia="zh-CN"/>
        </w:rPr>
        <w:t>intra-band n</w:t>
      </w:r>
      <w:r>
        <w:rPr>
          <w:sz w:val="20"/>
          <w:szCs w:val="20"/>
        </w:rPr>
        <w:t>on-contiguous</w:t>
      </w:r>
      <w:r>
        <w:rPr>
          <w:rFonts w:hint="eastAsia"/>
          <w:sz w:val="20"/>
          <w:szCs w:val="20"/>
          <w:lang w:val="en-US" w:eastAsia="zh-CN"/>
        </w:rPr>
        <w:t xml:space="preserve"> </w:t>
      </w:r>
      <w:r>
        <w:rPr>
          <w:sz w:val="20"/>
          <w:szCs w:val="20"/>
        </w:rPr>
        <w:t>CA reference transmitter architecture</w:t>
      </w:r>
      <w:r>
        <w:rPr>
          <w:rFonts w:hint="eastAsia"/>
          <w:sz w:val="20"/>
          <w:szCs w:val="20"/>
          <w:lang w:val="en-US" w:eastAsia="zh-CN"/>
        </w:rPr>
        <w:t xml:space="preserve"> </w:t>
      </w:r>
      <w:r>
        <w:rPr>
          <w:rFonts w:hint="eastAsia" w:cs="Times New Roman"/>
          <w:b w:val="0"/>
          <w:bCs w:val="0"/>
          <w:kern w:val="0"/>
          <w:sz w:val="20"/>
          <w:szCs w:val="20"/>
          <w:highlight w:val="none"/>
          <w:lang w:val="en-US" w:eastAsia="zh-CN"/>
        </w:rPr>
        <w:t>can be found in Fig1.</w:t>
      </w:r>
    </w:p>
    <w:p>
      <w:pPr>
        <w:keepNext/>
        <w:keepLines/>
        <w:pageBreakBefore w:val="0"/>
        <w:widowControl w:val="0"/>
        <w:suppressLineNumbers w:val="0"/>
        <w:kinsoku/>
        <w:wordWrap/>
        <w:topLinePunct w:val="0"/>
        <w:bidi w:val="0"/>
        <w:snapToGrid/>
        <w:jc w:val="center"/>
        <w:rPr>
          <w:rFonts w:hint="eastAsia"/>
          <w:lang w:val="en-US" w:eastAsia="zh-CN"/>
        </w:rPr>
      </w:pPr>
      <w:r>
        <w:drawing>
          <wp:inline distT="0" distB="0" distL="114300" distR="114300">
            <wp:extent cx="3398520" cy="116586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3398520" cy="1165860"/>
                    </a:xfrm>
                    <a:prstGeom prst="rect">
                      <a:avLst/>
                    </a:prstGeom>
                    <a:noFill/>
                    <a:ln>
                      <a:noFill/>
                    </a:ln>
                  </pic:spPr>
                </pic:pic>
              </a:graphicData>
            </a:graphic>
          </wp:inline>
        </w:drawing>
      </w:r>
    </w:p>
    <w:p>
      <w:pPr>
        <w:keepNext/>
        <w:keepLines/>
        <w:pageBreakBefore w:val="0"/>
        <w:widowControl w:val="0"/>
        <w:suppressLineNumbers w:val="0"/>
        <w:kinsoku/>
        <w:wordWrap/>
        <w:topLinePunct w:val="0"/>
        <w:bidi w:val="0"/>
        <w:snapToGrid/>
        <w:jc w:val="center"/>
        <w:rPr>
          <w:rFonts w:hint="default" w:eastAsia="宋体"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Fig 1. Example for </w:t>
      </w:r>
      <w:r>
        <w:rPr>
          <w:rFonts w:hint="eastAsia"/>
          <w:sz w:val="20"/>
          <w:szCs w:val="20"/>
          <w:lang w:val="en-US" w:eastAsia="zh-CN"/>
        </w:rPr>
        <w:t>intra-band n</w:t>
      </w:r>
      <w:r>
        <w:rPr>
          <w:sz w:val="20"/>
          <w:szCs w:val="20"/>
        </w:rPr>
        <w:t>on-contiguous</w:t>
      </w:r>
      <w:r>
        <w:rPr>
          <w:rFonts w:hint="eastAsia"/>
          <w:sz w:val="20"/>
          <w:szCs w:val="20"/>
          <w:lang w:val="en-US" w:eastAsia="zh-CN"/>
        </w:rPr>
        <w:t xml:space="preserve"> </w:t>
      </w:r>
      <w:r>
        <w:rPr>
          <w:sz w:val="20"/>
          <w:szCs w:val="20"/>
        </w:rPr>
        <w:t>CA reference transmitter architecture</w:t>
      </w:r>
      <w:r>
        <w:rPr>
          <w:rFonts w:hint="eastAsia"/>
          <w:sz w:val="20"/>
          <w:szCs w:val="20"/>
          <w:lang w:val="en-US" w:eastAsia="zh-CN"/>
        </w:rPr>
        <w:t xml:space="preserve"> (Rx chain with separate LO)</w:t>
      </w:r>
    </w:p>
    <w:p>
      <w:pPr>
        <w:keepNext/>
        <w:keepLines/>
        <w:pageBreakBefore w:val="0"/>
        <w:widowControl w:val="0"/>
        <w:suppressLineNumbers w:val="0"/>
        <w:kinsoku/>
        <w:wordWrap/>
        <w:topLinePunct w:val="0"/>
        <w:bidi w:val="0"/>
        <w:snapToGrid/>
        <w:jc w:val="left"/>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In Fig 1, although we say it is separate Rx chain, some RF component such as external LNA would still be shared (i.e. partial separate RF chain or somehow partial share RF chain.). </w:t>
      </w:r>
    </w:p>
    <w:p>
      <w:pPr>
        <w:keepNext/>
        <w:keepLines/>
        <w:pageBreakBefore w:val="0"/>
        <w:widowControl w:val="0"/>
        <w:suppressLineNumbers w:val="0"/>
        <w:kinsoku/>
        <w:wordWrap/>
        <w:topLinePunct w:val="0"/>
        <w:bidi w:val="0"/>
        <w:snapToGrid/>
        <w:jc w:val="left"/>
        <w:rPr>
          <w:rFonts w:hint="default" w:cs="Times New Roman"/>
          <w:b w:val="0"/>
          <w:bCs w:val="0"/>
          <w:kern w:val="0"/>
          <w:sz w:val="20"/>
          <w:szCs w:val="20"/>
          <w:highlight w:val="none"/>
          <w:lang w:val="en-US" w:eastAsia="zh-CN"/>
        </w:rPr>
      </w:pPr>
      <w:r>
        <w:rPr>
          <w:rFonts w:hint="eastAsia"/>
          <w:sz w:val="20"/>
          <w:szCs w:val="20"/>
          <w:lang w:val="en-US" w:eastAsia="zh-CN"/>
        </w:rPr>
        <w:t xml:space="preserve">This SID aims to reduce the UE Rx chain number such as </w:t>
      </w:r>
      <w:r>
        <w:rPr>
          <w:sz w:val="20"/>
          <w:szCs w:val="20"/>
        </w:rPr>
        <w:t>from separate RF chains per CC to shared RF chains</w:t>
      </w:r>
      <w:r>
        <w:rPr>
          <w:rFonts w:hint="eastAsia"/>
          <w:sz w:val="20"/>
          <w:szCs w:val="20"/>
          <w:lang w:val="en-US" w:eastAsia="zh-CN"/>
        </w:rPr>
        <w:t xml:space="preserve"> for the CCs handling. </w:t>
      </w:r>
      <w:r>
        <w:rPr>
          <w:rFonts w:hint="eastAsia"/>
          <w:sz w:val="20"/>
          <w:szCs w:val="20"/>
          <w:lang w:val="en-US" w:eastAsia="zh-CN"/>
        </w:rPr>
        <w:tab/>
      </w:r>
      <w:r>
        <w:rPr>
          <w:rFonts w:hint="eastAsia"/>
          <w:sz w:val="20"/>
          <w:szCs w:val="20"/>
          <w:lang w:val="en-US" w:eastAsia="zh-CN"/>
        </w:rPr>
        <w:t>A</w:t>
      </w:r>
      <w:r>
        <w:rPr>
          <w:rFonts w:hint="eastAsia" w:cs="Times New Roman"/>
          <w:b w:val="0"/>
          <w:bCs w:val="0"/>
          <w:kern w:val="0"/>
          <w:sz w:val="20"/>
          <w:szCs w:val="20"/>
          <w:highlight w:val="none"/>
          <w:lang w:val="en-US" w:eastAsia="zh-CN"/>
        </w:rPr>
        <w:t xml:space="preserve">n example for </w:t>
      </w:r>
      <w:r>
        <w:rPr>
          <w:rFonts w:hint="eastAsia"/>
          <w:sz w:val="20"/>
          <w:szCs w:val="20"/>
          <w:lang w:val="en-US" w:eastAsia="zh-CN"/>
        </w:rPr>
        <w:t>intra-band n</w:t>
      </w:r>
      <w:r>
        <w:rPr>
          <w:sz w:val="20"/>
          <w:szCs w:val="20"/>
        </w:rPr>
        <w:t>on-contiguous</w:t>
      </w:r>
      <w:r>
        <w:rPr>
          <w:rFonts w:hint="eastAsia"/>
          <w:sz w:val="20"/>
          <w:szCs w:val="20"/>
          <w:lang w:val="en-US" w:eastAsia="zh-CN"/>
        </w:rPr>
        <w:t xml:space="preserve"> </w:t>
      </w:r>
      <w:r>
        <w:rPr>
          <w:sz w:val="20"/>
          <w:szCs w:val="20"/>
        </w:rPr>
        <w:t>CA reference transmitter architecture</w:t>
      </w:r>
      <w:r>
        <w:rPr>
          <w:rFonts w:hint="eastAsia"/>
          <w:sz w:val="20"/>
          <w:szCs w:val="20"/>
          <w:lang w:val="en-US" w:eastAsia="zh-CN"/>
        </w:rPr>
        <w:t xml:space="preserve"> by reducing the UE Rx chain number </w:t>
      </w:r>
      <w:r>
        <w:rPr>
          <w:rFonts w:hint="eastAsia" w:cs="Times New Roman"/>
          <w:b w:val="0"/>
          <w:bCs w:val="0"/>
          <w:kern w:val="0"/>
          <w:sz w:val="20"/>
          <w:szCs w:val="20"/>
          <w:highlight w:val="none"/>
          <w:lang w:val="en-US" w:eastAsia="zh-CN"/>
        </w:rPr>
        <w:t>can be found in Fig2.</w:t>
      </w:r>
    </w:p>
    <w:p>
      <w:pPr>
        <w:keepNext/>
        <w:keepLines/>
        <w:pageBreakBefore w:val="0"/>
        <w:widowControl w:val="0"/>
        <w:suppressLineNumbers w:val="0"/>
        <w:kinsoku/>
        <w:wordWrap/>
        <w:topLinePunct w:val="0"/>
        <w:bidi w:val="0"/>
        <w:snapToGrid/>
        <w:jc w:val="center"/>
        <w:rPr>
          <w:rFonts w:hint="default"/>
          <w:lang w:val="en-US" w:eastAsia="zh-CN"/>
        </w:rPr>
      </w:pPr>
      <w:r>
        <w:drawing>
          <wp:inline distT="0" distB="0" distL="114300" distR="114300">
            <wp:extent cx="3398520" cy="124206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3398520" cy="1242060"/>
                    </a:xfrm>
                    <a:prstGeom prst="rect">
                      <a:avLst/>
                    </a:prstGeom>
                    <a:noFill/>
                    <a:ln>
                      <a:noFill/>
                    </a:ln>
                  </pic:spPr>
                </pic:pic>
              </a:graphicData>
            </a:graphic>
          </wp:inline>
        </w:drawing>
      </w:r>
    </w:p>
    <w:p>
      <w:pPr>
        <w:keepNext/>
        <w:keepLines/>
        <w:pageBreakBefore w:val="0"/>
        <w:widowControl w:val="0"/>
        <w:suppressLineNumbers w:val="0"/>
        <w:kinsoku/>
        <w:wordWrap/>
        <w:topLinePunct w:val="0"/>
        <w:bidi w:val="0"/>
        <w:snapToGrid/>
        <w:jc w:val="center"/>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Fig 2. Example for intra-band non-contiguous CA reference transmitter architecture (</w:t>
      </w:r>
      <w:r>
        <w:rPr>
          <w:rFonts w:hint="eastAsia"/>
          <w:sz w:val="20"/>
          <w:szCs w:val="20"/>
          <w:lang w:val="en-US" w:eastAsia="zh-CN"/>
        </w:rPr>
        <w:t xml:space="preserve">Rx chain with share </w:t>
      </w:r>
      <w:r>
        <w:rPr>
          <w:rFonts w:hint="eastAsia" w:cs="Times New Roman"/>
          <w:b w:val="0"/>
          <w:bCs w:val="0"/>
          <w:kern w:val="0"/>
          <w:sz w:val="20"/>
          <w:szCs w:val="20"/>
          <w:highlight w:val="none"/>
          <w:lang w:val="en-US" w:eastAsia="zh-CN"/>
        </w:rPr>
        <w:t>LO)</w:t>
      </w:r>
    </w:p>
    <w:p>
      <w:pPr>
        <w:keepNext/>
        <w:keepLines/>
        <w:pageBreakBefore w:val="0"/>
        <w:widowControl w:val="0"/>
        <w:suppressLineNumbers w:val="0"/>
        <w:kinsoku/>
        <w:wordWrap/>
        <w:topLinePunct w:val="0"/>
        <w:bidi w:val="0"/>
        <w:snapToGrid/>
        <w:jc w:val="left"/>
        <w:rPr>
          <w:rFonts w:hint="eastAsia"/>
          <w:sz w:val="20"/>
          <w:szCs w:val="20"/>
          <w:lang w:val="en-US" w:eastAsia="zh-CN"/>
        </w:rPr>
      </w:pPr>
      <w:r>
        <w:rPr>
          <w:rFonts w:hint="eastAsia"/>
          <w:sz w:val="20"/>
          <w:szCs w:val="20"/>
          <w:lang w:val="en-US" w:eastAsia="zh-CN"/>
        </w:rPr>
        <w:t xml:space="preserve">In Fig 2, only 1 Rx chain is needed for CC1+CC2 handling if the conditions for the two CCs </w:t>
      </w:r>
      <w:r>
        <w:rPr>
          <w:rFonts w:hint="eastAsia"/>
          <w:color w:val="auto"/>
          <w:sz w:val="20"/>
          <w:szCs w:val="20"/>
          <w:lang w:val="en-US" w:eastAsia="zh-CN"/>
        </w:rPr>
        <w:t xml:space="preserve">(such as PSD imbalance </w:t>
      </w:r>
      <w:r>
        <w:rPr>
          <w:rFonts w:hint="default" w:ascii="Times New Roman" w:hAnsi="Times New Roman" w:cs="Times New Roman"/>
          <w:color w:val="auto"/>
          <w:sz w:val="20"/>
          <w:szCs w:val="20"/>
        </w:rPr>
        <w:t xml:space="preserve">≤ </w:t>
      </w:r>
      <w:r>
        <w:rPr>
          <w:rFonts w:hint="eastAsia" w:cs="Times New Roman"/>
          <w:color w:val="auto"/>
          <w:sz w:val="20"/>
          <w:szCs w:val="20"/>
          <w:lang w:val="en-US" w:eastAsia="zh-CN"/>
        </w:rPr>
        <w:t>6dB..</w:t>
      </w:r>
      <w:r>
        <w:rPr>
          <w:rFonts w:hint="eastAsia"/>
          <w:color w:val="auto"/>
          <w:sz w:val="20"/>
          <w:szCs w:val="20"/>
          <w:lang w:val="en-US" w:eastAsia="zh-CN"/>
        </w:rPr>
        <w:t xml:space="preserve">) </w:t>
      </w:r>
      <w:r>
        <w:rPr>
          <w:rFonts w:hint="eastAsia"/>
          <w:sz w:val="20"/>
          <w:szCs w:val="20"/>
          <w:lang w:val="en-US" w:eastAsia="zh-CN"/>
        </w:rPr>
        <w:t>are met. Comparing with Fig 1, there is one Rx chain left which can support more other DL carriers. For the one Rx chain, there is only one LO which can do the down-conversion for both CC1 and CC2. It can be seen as share RF chain. Here we don</w:t>
      </w:r>
      <w:r>
        <w:rPr>
          <w:rFonts w:hint="default"/>
          <w:sz w:val="20"/>
          <w:szCs w:val="20"/>
          <w:lang w:val="en-US" w:eastAsia="zh-CN"/>
        </w:rPr>
        <w:t>’</w:t>
      </w:r>
      <w:r>
        <w:rPr>
          <w:rFonts w:hint="eastAsia"/>
          <w:sz w:val="20"/>
          <w:szCs w:val="20"/>
          <w:lang w:val="en-US" w:eastAsia="zh-CN"/>
        </w:rPr>
        <w:t>t consider the other RF components which may still separate.</w:t>
      </w:r>
    </w:p>
    <w:p>
      <w:pPr>
        <w:keepNext/>
        <w:keepLines/>
        <w:pageBreakBefore w:val="0"/>
        <w:widowControl w:val="0"/>
        <w:suppressLineNumbers w:val="0"/>
        <w:kinsoku/>
        <w:wordWrap/>
        <w:topLinePunct w:val="0"/>
        <w:bidi w:val="0"/>
        <w:snapToGrid/>
        <w:jc w:val="left"/>
        <w:rPr>
          <w:rFonts w:hint="eastAsia"/>
          <w:sz w:val="20"/>
          <w:szCs w:val="20"/>
          <w:lang w:val="en-US" w:eastAsia="zh-CN"/>
        </w:rPr>
      </w:pPr>
      <w:r>
        <w:rPr>
          <w:rFonts w:hint="eastAsia"/>
          <w:sz w:val="20"/>
          <w:szCs w:val="20"/>
          <w:lang w:val="en-US" w:eastAsia="zh-CN"/>
        </w:rPr>
        <w:t>In terms of the above example Rx chains in Fig 1 and Fig 2, we can see that the big difference is that the filter is shared for the two DL carriers in the share RF chain architecture in Fig 2, which means the shared filter cannot filter out each carrier anymore. the interference appeared in the gap is located in the pass band of the filter, and the filter cannot provide the attenuation in the gap between the two DL carriers.</w:t>
      </w:r>
    </w:p>
    <w:p>
      <w:pPr>
        <w:keepNext/>
        <w:keepLines/>
        <w:pageBreakBefore w:val="0"/>
        <w:widowControl w:val="0"/>
        <w:suppressLineNumbers w:val="0"/>
        <w:kinsoku/>
        <w:wordWrap/>
        <w:topLinePunct w:val="0"/>
        <w:bidi w:val="0"/>
        <w:snapToGrid/>
        <w:jc w:val="left"/>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The </w:t>
      </w:r>
      <w:r>
        <w:rPr>
          <w:rFonts w:hint="default" w:ascii="Times New Roman" w:hAnsi="Times New Roman" w:cs="Times New Roman"/>
          <w:b w:val="0"/>
          <w:bCs w:val="0"/>
          <w:kern w:val="0"/>
          <w:sz w:val="20"/>
          <w:szCs w:val="20"/>
          <w:highlight w:val="none"/>
          <w:lang w:val="en-US" w:eastAsia="zh-CN"/>
        </w:rPr>
        <w:t>ΔR</w:t>
      </w:r>
      <w:r>
        <w:rPr>
          <w:rFonts w:hint="default" w:ascii="Times New Roman" w:hAnsi="Times New Roman" w:cs="Times New Roman"/>
          <w:b w:val="0"/>
          <w:bCs w:val="0"/>
          <w:kern w:val="0"/>
          <w:sz w:val="20"/>
          <w:szCs w:val="20"/>
          <w:highlight w:val="none"/>
          <w:vertAlign w:val="subscript"/>
          <w:lang w:val="en-US" w:eastAsia="zh-CN"/>
        </w:rPr>
        <w:t>IBNC</w:t>
      </w:r>
      <w:r>
        <w:rPr>
          <w:rFonts w:hint="eastAsia" w:cs="Times New Roman"/>
          <w:b w:val="0"/>
          <w:bCs w:val="0"/>
          <w:kern w:val="0"/>
          <w:sz w:val="20"/>
          <w:szCs w:val="20"/>
          <w:highlight w:val="none"/>
          <w:vertAlign w:val="subscript"/>
          <w:lang w:val="en-US" w:eastAsia="zh-CN"/>
        </w:rPr>
        <w:t xml:space="preserve"> </w:t>
      </w:r>
      <w:r>
        <w:rPr>
          <w:rFonts w:hint="eastAsia" w:cs="Times New Roman"/>
          <w:b w:val="0"/>
          <w:bCs w:val="0"/>
          <w:kern w:val="0"/>
          <w:sz w:val="20"/>
          <w:szCs w:val="20"/>
          <w:highlight w:val="none"/>
          <w:lang w:val="en-US" w:eastAsia="zh-CN"/>
        </w:rPr>
        <w:t xml:space="preserve">requirements for FDD intra-band NC CA would become larger since the Tx leakage from PCC to SCC would increase due to the attenuation of the shared filter is lower than the attenuation of the separated filter for SCC although reduce the Wgap can alleviate the interference from PCC. An illustration for </w:t>
      </w:r>
      <w:r>
        <w:rPr>
          <w:rFonts w:hint="default" w:ascii="Times New Roman" w:hAnsi="Times New Roman" w:cs="Times New Roman"/>
          <w:b w:val="0"/>
          <w:bCs w:val="0"/>
          <w:kern w:val="0"/>
          <w:sz w:val="20"/>
          <w:szCs w:val="20"/>
          <w:highlight w:val="none"/>
          <w:lang w:val="en-US" w:eastAsia="zh-CN"/>
        </w:rPr>
        <w:t>ΔR</w:t>
      </w:r>
      <w:r>
        <w:rPr>
          <w:rFonts w:hint="default" w:ascii="Times New Roman" w:hAnsi="Times New Roman" w:cs="Times New Roman"/>
          <w:b w:val="0"/>
          <w:bCs w:val="0"/>
          <w:kern w:val="0"/>
          <w:sz w:val="20"/>
          <w:szCs w:val="20"/>
          <w:highlight w:val="none"/>
          <w:vertAlign w:val="subscript"/>
          <w:lang w:val="en-US" w:eastAsia="zh-CN"/>
        </w:rPr>
        <w:t>IBNC</w:t>
      </w:r>
      <w:r>
        <w:rPr>
          <w:rFonts w:hint="eastAsia" w:cs="Times New Roman"/>
          <w:b w:val="0"/>
          <w:bCs w:val="0"/>
          <w:kern w:val="0"/>
          <w:sz w:val="20"/>
          <w:szCs w:val="20"/>
          <w:highlight w:val="none"/>
          <w:vertAlign w:val="subscript"/>
          <w:lang w:val="en-US" w:eastAsia="zh-CN"/>
        </w:rPr>
        <w:t xml:space="preserve"> </w:t>
      </w:r>
      <w:r>
        <w:rPr>
          <w:rFonts w:hint="eastAsia" w:cs="Times New Roman"/>
          <w:b w:val="0"/>
          <w:bCs w:val="0"/>
          <w:kern w:val="0"/>
          <w:sz w:val="20"/>
          <w:szCs w:val="20"/>
          <w:highlight w:val="none"/>
          <w:lang w:val="en-US" w:eastAsia="zh-CN"/>
        </w:rPr>
        <w:t>requirements for FDD intra-band non-contiguous CA can be found in Fig 3.</w:t>
      </w:r>
    </w:p>
    <w:p>
      <w:pPr>
        <w:keepNext/>
        <w:keepLines/>
        <w:pageBreakBefore w:val="0"/>
        <w:widowControl w:val="0"/>
        <w:suppressLineNumbers w:val="0"/>
        <w:kinsoku/>
        <w:wordWrap/>
        <w:topLinePunct w:val="0"/>
        <w:bidi w:val="0"/>
        <w:snapToGrid/>
        <w:jc w:val="left"/>
        <w:rPr>
          <w:rFonts w:hint="eastAsia"/>
          <w:sz w:val="20"/>
          <w:szCs w:val="20"/>
          <w:lang w:val="en-US" w:eastAsia="zh-CN"/>
        </w:rPr>
      </w:pPr>
      <w:r>
        <w:rPr>
          <w:rFonts w:hint="eastAsia"/>
          <w:sz w:val="20"/>
          <w:szCs w:val="20"/>
          <w:lang w:val="en-US" w:eastAsia="zh-CN"/>
        </w:rPr>
        <w:t xml:space="preserve"> </w:t>
      </w:r>
      <w:r>
        <w:drawing>
          <wp:inline distT="0" distB="0" distL="114300" distR="114300">
            <wp:extent cx="5036820" cy="1440180"/>
            <wp:effectExtent l="0" t="0" r="762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5036820" cy="1440180"/>
                    </a:xfrm>
                    <a:prstGeom prst="rect">
                      <a:avLst/>
                    </a:prstGeom>
                    <a:noFill/>
                    <a:ln>
                      <a:noFill/>
                    </a:ln>
                  </pic:spPr>
                </pic:pic>
              </a:graphicData>
            </a:graphic>
          </wp:inline>
        </w:drawing>
      </w:r>
    </w:p>
    <w:p>
      <w:pPr>
        <w:keepNext/>
        <w:keepLines/>
        <w:pageBreakBefore w:val="0"/>
        <w:widowControl w:val="0"/>
        <w:suppressLineNumbers w:val="0"/>
        <w:kinsoku/>
        <w:wordWrap/>
        <w:topLinePunct w:val="0"/>
        <w:bidi w:val="0"/>
        <w:snapToGrid/>
        <w:jc w:val="center"/>
        <w:rPr>
          <w:rFonts w:hint="default"/>
          <w:sz w:val="20"/>
          <w:szCs w:val="20"/>
          <w:lang w:val="en-US" w:eastAsia="zh-CN"/>
        </w:rPr>
      </w:pPr>
      <w:r>
        <w:rPr>
          <w:rFonts w:hint="eastAsia"/>
          <w:sz w:val="20"/>
          <w:szCs w:val="20"/>
          <w:lang w:val="en-US" w:eastAsia="zh-CN"/>
        </w:rPr>
        <w:t xml:space="preserve">Fig 3. </w:t>
      </w:r>
      <w:r>
        <w:rPr>
          <w:rFonts w:hint="eastAsia" w:cs="Times New Roman"/>
          <w:b w:val="0"/>
          <w:bCs w:val="0"/>
          <w:kern w:val="0"/>
          <w:sz w:val="20"/>
          <w:szCs w:val="20"/>
          <w:highlight w:val="none"/>
          <w:lang w:val="en-US" w:eastAsia="zh-CN"/>
        </w:rPr>
        <w:t xml:space="preserve">Iillustration for </w:t>
      </w:r>
      <w:r>
        <w:rPr>
          <w:rFonts w:hint="default" w:ascii="Times New Roman" w:hAnsi="Times New Roman" w:cs="Times New Roman"/>
          <w:b w:val="0"/>
          <w:bCs w:val="0"/>
          <w:kern w:val="0"/>
          <w:sz w:val="20"/>
          <w:szCs w:val="20"/>
          <w:highlight w:val="none"/>
          <w:lang w:val="en-US" w:eastAsia="zh-CN"/>
        </w:rPr>
        <w:t>ΔR</w:t>
      </w:r>
      <w:r>
        <w:rPr>
          <w:rFonts w:hint="default" w:ascii="Times New Roman" w:hAnsi="Times New Roman" w:cs="Times New Roman"/>
          <w:b w:val="0"/>
          <w:bCs w:val="0"/>
          <w:kern w:val="0"/>
          <w:sz w:val="20"/>
          <w:szCs w:val="20"/>
          <w:highlight w:val="none"/>
          <w:vertAlign w:val="subscript"/>
          <w:lang w:val="en-US" w:eastAsia="zh-CN"/>
        </w:rPr>
        <w:t>IBNC</w:t>
      </w:r>
      <w:r>
        <w:rPr>
          <w:rFonts w:hint="eastAsia" w:cs="Times New Roman"/>
          <w:b w:val="0"/>
          <w:bCs w:val="0"/>
          <w:kern w:val="0"/>
          <w:sz w:val="20"/>
          <w:szCs w:val="20"/>
          <w:highlight w:val="none"/>
          <w:vertAlign w:val="subscript"/>
          <w:lang w:val="en-US" w:eastAsia="zh-CN"/>
        </w:rPr>
        <w:t xml:space="preserve"> </w:t>
      </w:r>
      <w:r>
        <w:rPr>
          <w:rFonts w:hint="eastAsia" w:cs="Times New Roman"/>
          <w:b w:val="0"/>
          <w:bCs w:val="0"/>
          <w:kern w:val="0"/>
          <w:sz w:val="20"/>
          <w:szCs w:val="20"/>
          <w:highlight w:val="none"/>
          <w:lang w:val="en-US" w:eastAsia="zh-CN"/>
        </w:rPr>
        <w:t>requirements for FDD intra-band non-contiguous CA(worst case)</w:t>
      </w:r>
    </w:p>
    <w:p>
      <w:pPr>
        <w:keepNext/>
        <w:keepLines/>
        <w:pageBreakBefore w:val="0"/>
        <w:widowControl w:val="0"/>
        <w:suppressLineNumbers w:val="0"/>
        <w:kinsoku/>
        <w:wordWrap/>
        <w:topLinePunct w:val="0"/>
        <w:bidi w:val="0"/>
        <w:snapToGrid/>
        <w:jc w:val="left"/>
        <w:rPr>
          <w:rFonts w:hint="default"/>
          <w:kern w:val="0"/>
          <w:sz w:val="20"/>
          <w:highlight w:val="none"/>
          <w:lang w:val="en-US" w:eastAsia="zh-CN"/>
        </w:rPr>
      </w:pPr>
      <w:r>
        <w:rPr>
          <w:rFonts w:hint="eastAsia"/>
          <w:sz w:val="20"/>
          <w:lang w:val="en-US" w:eastAsia="zh-CN"/>
        </w:rPr>
        <w:t xml:space="preserve">In current spec, the </w:t>
      </w:r>
      <w:r>
        <w:rPr>
          <w:rFonts w:hint="default" w:ascii="Times New Roman" w:hAnsi="Times New Roman" w:cs="Times New Roman"/>
          <w:b w:val="0"/>
          <w:bCs w:val="0"/>
          <w:kern w:val="0"/>
          <w:sz w:val="20"/>
          <w:szCs w:val="20"/>
          <w:highlight w:val="none"/>
          <w:lang w:val="en-US" w:eastAsia="zh-CN"/>
        </w:rPr>
        <w:t>ΔR</w:t>
      </w:r>
      <w:r>
        <w:rPr>
          <w:rFonts w:hint="default" w:ascii="Times New Roman" w:hAnsi="Times New Roman" w:cs="Times New Roman"/>
          <w:b w:val="0"/>
          <w:bCs w:val="0"/>
          <w:kern w:val="0"/>
          <w:sz w:val="20"/>
          <w:szCs w:val="20"/>
          <w:highlight w:val="none"/>
          <w:vertAlign w:val="subscript"/>
          <w:lang w:val="en-US" w:eastAsia="zh-CN"/>
        </w:rPr>
        <w:t>IBNC</w:t>
      </w:r>
      <w:r>
        <w:rPr>
          <w:rFonts w:hint="eastAsia" w:cs="Times New Roman"/>
          <w:b w:val="0"/>
          <w:bCs w:val="0"/>
          <w:kern w:val="0"/>
          <w:sz w:val="20"/>
          <w:szCs w:val="20"/>
          <w:highlight w:val="none"/>
          <w:vertAlign w:val="subscript"/>
          <w:lang w:val="en-US" w:eastAsia="zh-CN"/>
        </w:rPr>
        <w:t xml:space="preserve"> </w:t>
      </w:r>
      <w:r>
        <w:rPr>
          <w:rFonts w:hint="eastAsia" w:cs="Times New Roman"/>
          <w:b w:val="0"/>
          <w:bCs w:val="0"/>
          <w:kern w:val="0"/>
          <w:sz w:val="20"/>
          <w:szCs w:val="20"/>
          <w:highlight w:val="none"/>
          <w:lang w:val="en-US" w:eastAsia="zh-CN"/>
        </w:rPr>
        <w:t xml:space="preserve">requirements are defined relate to Wgap, in some cases or a certain band combination, 0dB </w:t>
      </w:r>
      <w:r>
        <w:rPr>
          <w:rFonts w:hint="default" w:ascii="Times New Roman" w:hAnsi="Times New Roman" w:cs="Times New Roman"/>
          <w:b w:val="0"/>
          <w:bCs w:val="0"/>
          <w:kern w:val="0"/>
          <w:sz w:val="20"/>
          <w:szCs w:val="20"/>
          <w:highlight w:val="none"/>
          <w:lang w:val="en-US" w:eastAsia="zh-CN"/>
        </w:rPr>
        <w:t>ΔR</w:t>
      </w:r>
      <w:r>
        <w:rPr>
          <w:rFonts w:hint="default" w:ascii="Times New Roman" w:hAnsi="Times New Roman" w:cs="Times New Roman"/>
          <w:b w:val="0"/>
          <w:bCs w:val="0"/>
          <w:kern w:val="0"/>
          <w:sz w:val="20"/>
          <w:szCs w:val="20"/>
          <w:highlight w:val="none"/>
          <w:vertAlign w:val="subscript"/>
          <w:lang w:val="en-US" w:eastAsia="zh-CN"/>
        </w:rPr>
        <w:t>IBNC</w:t>
      </w:r>
      <w:r>
        <w:rPr>
          <w:rFonts w:hint="eastAsia" w:cs="Times New Roman"/>
          <w:b w:val="0"/>
          <w:bCs w:val="0"/>
          <w:kern w:val="0"/>
          <w:sz w:val="20"/>
          <w:szCs w:val="20"/>
          <w:highlight w:val="none"/>
          <w:lang w:val="en-US" w:eastAsia="zh-CN"/>
        </w:rPr>
        <w:t xml:space="preserve"> is defined. Due to share Rx chain, we think </w:t>
      </w:r>
      <w:r>
        <w:rPr>
          <w:rFonts w:hint="default" w:ascii="Times New Roman" w:hAnsi="Times New Roman" w:cs="Times New Roman"/>
          <w:b w:val="0"/>
          <w:bCs w:val="0"/>
          <w:kern w:val="0"/>
          <w:sz w:val="20"/>
          <w:szCs w:val="20"/>
          <w:highlight w:val="none"/>
          <w:lang w:val="en-US" w:eastAsia="zh-CN"/>
        </w:rPr>
        <w:t>ΔR</w:t>
      </w:r>
      <w:r>
        <w:rPr>
          <w:rFonts w:hint="default" w:ascii="Times New Roman" w:hAnsi="Times New Roman" w:cs="Times New Roman"/>
          <w:b w:val="0"/>
          <w:bCs w:val="0"/>
          <w:kern w:val="0"/>
          <w:sz w:val="20"/>
          <w:szCs w:val="20"/>
          <w:highlight w:val="none"/>
          <w:vertAlign w:val="subscript"/>
          <w:lang w:val="en-US" w:eastAsia="zh-CN"/>
        </w:rPr>
        <w:t>IBNC</w:t>
      </w:r>
      <w:r>
        <w:rPr>
          <w:rFonts w:hint="eastAsia" w:cs="Times New Roman"/>
          <w:b w:val="0"/>
          <w:bCs w:val="0"/>
          <w:kern w:val="0"/>
          <w:sz w:val="20"/>
          <w:szCs w:val="20"/>
          <w:highlight w:val="none"/>
          <w:lang w:val="en-US" w:eastAsia="zh-CN"/>
        </w:rPr>
        <w:t xml:space="preserve"> should be re-evaluated and reuse the existing test points is reasonable.</w:t>
      </w:r>
    </w:p>
    <w:p>
      <w:pPr>
        <w:keepNext/>
        <w:keepLines/>
        <w:pageBreakBefore w:val="0"/>
        <w:widowControl w:val="0"/>
        <w:suppressLineNumbers w:val="0"/>
        <w:kinsoku/>
        <w:wordWrap/>
        <w:topLinePunct w:val="0"/>
        <w:bidi w:val="0"/>
        <w:snapToGrid/>
        <w:jc w:val="left"/>
        <w:rPr>
          <w:rFonts w:hint="default"/>
          <w:b/>
          <w:bCs/>
          <w:kern w:val="0"/>
          <w:sz w:val="20"/>
          <w:highlight w:val="none"/>
          <w:lang w:val="en-US" w:eastAsia="zh-CN"/>
        </w:rPr>
      </w:pPr>
      <w:r>
        <w:rPr>
          <w:rFonts w:hint="eastAsia" w:cs="Times New Roman"/>
          <w:b/>
          <w:bCs/>
          <w:i w:val="0"/>
          <w:iCs w:val="0"/>
          <w:kern w:val="0"/>
          <w:sz w:val="20"/>
          <w:szCs w:val="20"/>
          <w:highlight w:val="none"/>
          <w:lang w:val="en-US" w:eastAsia="zh-CN"/>
        </w:rPr>
        <w:t xml:space="preserve">Proposal 2. </w:t>
      </w:r>
      <w:r>
        <w:rPr>
          <w:rFonts w:hint="eastAsia" w:cs="Times New Roman"/>
          <w:b/>
          <w:bCs/>
          <w:kern w:val="0"/>
          <w:sz w:val="20"/>
          <w:szCs w:val="20"/>
          <w:highlight w:val="none"/>
          <w:lang w:val="en-US" w:eastAsia="zh-CN"/>
        </w:rPr>
        <w:t xml:space="preserve">Re-evaluated the </w:t>
      </w:r>
      <w:r>
        <w:rPr>
          <w:rFonts w:hint="default" w:ascii="Times New Roman" w:hAnsi="Times New Roman" w:cs="Times New Roman"/>
          <w:b/>
          <w:bCs/>
          <w:kern w:val="0"/>
          <w:sz w:val="20"/>
          <w:szCs w:val="20"/>
          <w:highlight w:val="none"/>
          <w:lang w:val="en-US" w:eastAsia="zh-CN"/>
        </w:rPr>
        <w:t>ΔR</w:t>
      </w:r>
      <w:r>
        <w:rPr>
          <w:rFonts w:hint="default" w:ascii="Times New Roman" w:hAnsi="Times New Roman" w:cs="Times New Roman"/>
          <w:b/>
          <w:bCs/>
          <w:kern w:val="0"/>
          <w:sz w:val="20"/>
          <w:szCs w:val="20"/>
          <w:highlight w:val="none"/>
          <w:vertAlign w:val="subscript"/>
          <w:lang w:val="en-US" w:eastAsia="zh-CN"/>
        </w:rPr>
        <w:t>IBNC</w:t>
      </w:r>
      <w:r>
        <w:rPr>
          <w:rFonts w:hint="eastAsia" w:cs="Times New Roman"/>
          <w:b/>
          <w:bCs/>
          <w:kern w:val="0"/>
          <w:sz w:val="20"/>
          <w:szCs w:val="20"/>
          <w:highlight w:val="none"/>
          <w:lang w:val="en-US" w:eastAsia="zh-CN"/>
        </w:rPr>
        <w:t xml:space="preserve"> requirements based on the existing test points.</w:t>
      </w:r>
    </w:p>
    <w:p>
      <w:pPr>
        <w:keepNext/>
        <w:keepLines/>
        <w:pageBreakBefore w:val="0"/>
        <w:widowControl w:val="0"/>
        <w:suppressLineNumbers w:val="0"/>
        <w:kinsoku/>
        <w:wordWrap/>
        <w:topLinePunct w:val="0"/>
        <w:bidi w:val="0"/>
        <w:snapToGrid/>
        <w:jc w:val="left"/>
        <w:rPr>
          <w:rFonts w:hint="eastAsia"/>
          <w:sz w:val="20"/>
          <w:szCs w:val="20"/>
          <w:lang w:val="en-US" w:eastAsia="zh-CN"/>
        </w:rPr>
      </w:pPr>
      <w:r>
        <w:rPr>
          <w:rFonts w:hint="eastAsia"/>
          <w:sz w:val="20"/>
          <w:lang w:val="en-US" w:eastAsia="zh-CN"/>
        </w:rPr>
        <w:t xml:space="preserve">For the maximum input level requirement, it mainly related to </w:t>
      </w:r>
      <w:r>
        <w:rPr>
          <w:sz w:val="20"/>
          <w:lang w:eastAsia="zh-CN"/>
        </w:rPr>
        <w:t>dynamic range of LNA</w:t>
      </w:r>
      <w:r>
        <w:rPr>
          <w:rFonts w:hint="eastAsia"/>
          <w:sz w:val="20"/>
          <w:lang w:val="en-US" w:eastAsia="zh-CN"/>
        </w:rPr>
        <w:t xml:space="preserve">. No matter </w:t>
      </w:r>
      <w:r>
        <w:rPr>
          <w:sz w:val="20"/>
          <w:lang w:eastAsia="zh-CN"/>
        </w:rPr>
        <w:t xml:space="preserve">UEs have two separate </w:t>
      </w:r>
      <w:r>
        <w:rPr>
          <w:rFonts w:hint="eastAsia"/>
          <w:sz w:val="20"/>
          <w:lang w:val="en-US" w:eastAsia="zh-CN"/>
        </w:rPr>
        <w:t xml:space="preserve">RF </w:t>
      </w:r>
      <w:r>
        <w:rPr>
          <w:sz w:val="20"/>
          <w:lang w:eastAsia="zh-CN"/>
        </w:rPr>
        <w:t>chains (LOs)</w:t>
      </w:r>
      <w:r>
        <w:rPr>
          <w:rFonts w:hint="eastAsia"/>
          <w:sz w:val="20"/>
          <w:lang w:val="en-US" w:eastAsia="zh-CN"/>
        </w:rPr>
        <w:t xml:space="preserve"> or share RF chain, due to </w:t>
      </w:r>
      <w:r>
        <w:rPr>
          <w:sz w:val="20"/>
          <w:lang w:eastAsia="zh-CN"/>
        </w:rPr>
        <w:t>the front end LNA is still directly exposed to the duplexer</w:t>
      </w:r>
      <w:r>
        <w:rPr>
          <w:rFonts w:hint="eastAsia"/>
          <w:sz w:val="20"/>
          <w:lang w:val="en-US" w:eastAsia="zh-CN"/>
        </w:rPr>
        <w:t xml:space="preserve">, </w:t>
      </w:r>
      <w:r>
        <w:rPr>
          <w:sz w:val="20"/>
          <w:lang w:eastAsia="zh-CN"/>
        </w:rPr>
        <w:t>the dynamic range of LNA</w:t>
      </w:r>
      <w:r>
        <w:rPr>
          <w:sz w:val="20"/>
        </w:rPr>
        <w:t xml:space="preserve"> would be impacted by the total power received over the operating band for </w:t>
      </w:r>
      <w:r>
        <w:rPr>
          <w:sz w:val="20"/>
          <w:lang w:eastAsia="zh-CN"/>
        </w:rPr>
        <w:t>intra-band non-contiguous</w:t>
      </w:r>
      <w:r>
        <w:rPr>
          <w:sz w:val="20"/>
        </w:rPr>
        <w:t xml:space="preserve"> CA UEs</w:t>
      </w:r>
      <w:r>
        <w:rPr>
          <w:rFonts w:hint="eastAsia"/>
          <w:sz w:val="20"/>
          <w:lang w:val="en-US" w:eastAsia="zh-CN"/>
        </w:rPr>
        <w:t>. Therefore, we think there is no impact on maximum input level requirements by</w:t>
      </w:r>
      <w:r>
        <w:rPr>
          <w:rFonts w:hint="eastAsia"/>
          <w:sz w:val="20"/>
          <w:szCs w:val="20"/>
        </w:rPr>
        <w:t xml:space="preserve"> reducing</w:t>
      </w:r>
      <w:r>
        <w:rPr>
          <w:sz w:val="20"/>
          <w:szCs w:val="20"/>
        </w:rPr>
        <w:t xml:space="preserve"> the</w:t>
      </w:r>
      <w:r>
        <w:rPr>
          <w:rFonts w:hint="eastAsia"/>
          <w:sz w:val="20"/>
          <w:szCs w:val="20"/>
        </w:rPr>
        <w:t xml:space="preserve"> number of UE Rx chains</w:t>
      </w:r>
      <w:r>
        <w:rPr>
          <w:rFonts w:hint="eastAsia"/>
          <w:sz w:val="20"/>
          <w:szCs w:val="20"/>
          <w:lang w:val="en-US" w:eastAsia="zh-CN"/>
        </w:rPr>
        <w:t>.</w:t>
      </w:r>
    </w:p>
    <w:p>
      <w:pPr>
        <w:keepNext/>
        <w:keepLines/>
        <w:pageBreakBefore w:val="0"/>
        <w:widowControl w:val="0"/>
        <w:suppressLineNumbers w:val="0"/>
        <w:kinsoku/>
        <w:wordWrap/>
        <w:topLinePunct w:val="0"/>
        <w:bidi w:val="0"/>
        <w:snapToGrid/>
        <w:jc w:val="left"/>
        <w:rPr>
          <w:rFonts w:hint="eastAsia"/>
          <w:sz w:val="20"/>
          <w:szCs w:val="20"/>
          <w:lang w:val="en-US" w:eastAsia="zh-CN"/>
        </w:rPr>
      </w:pPr>
      <w:r>
        <w:rPr>
          <w:rFonts w:hint="eastAsia" w:cs="Times New Roman"/>
          <w:b/>
          <w:bCs/>
          <w:i w:val="0"/>
          <w:iCs w:val="0"/>
          <w:kern w:val="0"/>
          <w:sz w:val="20"/>
          <w:szCs w:val="20"/>
          <w:highlight w:val="none"/>
          <w:lang w:val="en-US" w:eastAsia="zh-CN"/>
        </w:rPr>
        <w:t>Observation 2.T</w:t>
      </w:r>
      <w:r>
        <w:rPr>
          <w:rFonts w:hint="eastAsia"/>
          <w:b/>
          <w:bCs/>
          <w:kern w:val="0"/>
          <w:sz w:val="20"/>
          <w:highlight w:val="none"/>
          <w:lang w:val="en-US" w:eastAsia="zh-CN"/>
        </w:rPr>
        <w:t>here is no impact on maximum input level requirements by</w:t>
      </w:r>
      <w:r>
        <w:rPr>
          <w:rFonts w:hint="eastAsia"/>
          <w:b/>
          <w:bCs/>
          <w:kern w:val="0"/>
          <w:sz w:val="20"/>
          <w:szCs w:val="20"/>
          <w:highlight w:val="none"/>
        </w:rPr>
        <w:t xml:space="preserve"> reducing the number of UE Rx chains</w:t>
      </w:r>
      <w:r>
        <w:rPr>
          <w:rFonts w:hint="eastAsia"/>
          <w:b/>
          <w:bCs/>
          <w:kern w:val="0"/>
          <w:sz w:val="20"/>
          <w:szCs w:val="20"/>
          <w:highlight w:val="none"/>
          <w:lang w:val="en-US" w:eastAsia="zh-CN"/>
        </w:rPr>
        <w:t>.</w:t>
      </w:r>
    </w:p>
    <w:p>
      <w:pPr>
        <w:keepNext/>
        <w:keepLines/>
        <w:pageBreakBefore w:val="0"/>
        <w:widowControl w:val="0"/>
        <w:suppressLineNumbers w:val="0"/>
        <w:kinsoku/>
        <w:wordWrap/>
        <w:topLinePunct w:val="0"/>
        <w:bidi w:val="0"/>
        <w:snapToGrid/>
        <w:jc w:val="left"/>
        <w:rPr>
          <w:rFonts w:hint="eastAsia"/>
          <w:sz w:val="20"/>
          <w:szCs w:val="20"/>
          <w:lang w:val="en-US" w:eastAsia="zh-CN"/>
        </w:rPr>
      </w:pPr>
      <w:r>
        <w:rPr>
          <w:rFonts w:hint="eastAsia"/>
          <w:sz w:val="20"/>
          <w:szCs w:val="20"/>
          <w:lang w:val="en-US" w:eastAsia="zh-CN"/>
        </w:rPr>
        <w:t>By reducing the Rx chain, we think the mainly impacts are the requirements between the two DL carrier, a.k.a in-gap requirements. Except the ACS/IBB requirements, we think other Rx requirements such as Narrow band blocking should also need to be check since both in-gap and out-of-gap requirements are defined in the spec.</w:t>
      </w:r>
    </w:p>
    <w:p>
      <w:pPr>
        <w:keepNext/>
        <w:keepLines/>
        <w:pageBreakBefore w:val="0"/>
        <w:widowControl w:val="0"/>
        <w:suppressLineNumbers w:val="0"/>
        <w:kinsoku/>
        <w:wordWrap/>
        <w:topLinePunct w:val="0"/>
        <w:bidi w:val="0"/>
        <w:snapToGrid/>
        <w:jc w:val="left"/>
        <w:rPr>
          <w:rFonts w:hint="eastAsia"/>
          <w:sz w:val="20"/>
          <w:szCs w:val="20"/>
          <w:lang w:val="en-US" w:eastAsia="zh-CN"/>
        </w:rPr>
      </w:pPr>
      <w:r>
        <w:rPr>
          <w:rFonts w:hint="eastAsia" w:cs="Times New Roman"/>
          <w:b/>
          <w:bCs/>
          <w:i w:val="0"/>
          <w:iCs w:val="0"/>
          <w:kern w:val="0"/>
          <w:sz w:val="20"/>
          <w:szCs w:val="20"/>
          <w:highlight w:val="none"/>
          <w:lang w:val="en-US" w:eastAsia="zh-CN"/>
        </w:rPr>
        <w:t xml:space="preserve">Observation 3. The in-gap Rx requirements should be checked </w:t>
      </w:r>
      <w:r>
        <w:rPr>
          <w:rFonts w:hint="eastAsia"/>
          <w:b/>
          <w:bCs/>
          <w:sz w:val="20"/>
          <w:szCs w:val="20"/>
          <w:lang w:val="en-US" w:eastAsia="zh-CN"/>
        </w:rPr>
        <w:t>when reducing the Rx chain</w:t>
      </w:r>
      <w:r>
        <w:rPr>
          <w:rFonts w:hint="eastAsia" w:cs="Times New Roman"/>
          <w:b/>
          <w:bCs/>
          <w:i w:val="0"/>
          <w:iCs w:val="0"/>
          <w:kern w:val="0"/>
          <w:sz w:val="20"/>
          <w:szCs w:val="20"/>
          <w:highlight w:val="none"/>
          <w:lang w:val="en-US" w:eastAsia="zh-CN"/>
        </w:rPr>
        <w:t>.</w:t>
      </w:r>
    </w:p>
    <w:p>
      <w:pPr>
        <w:keepNext/>
        <w:keepLines/>
        <w:pageBreakBefore w:val="0"/>
        <w:widowControl w:val="0"/>
        <w:suppressLineNumbers w:val="0"/>
        <w:kinsoku/>
        <w:wordWrap/>
        <w:topLinePunct w:val="0"/>
        <w:bidi w:val="0"/>
        <w:snapToGrid/>
        <w:jc w:val="left"/>
        <w:rPr>
          <w:rFonts w:hint="default"/>
          <w:b/>
          <w:bCs/>
          <w:sz w:val="20"/>
          <w:szCs w:val="20"/>
          <w:lang w:val="en-US" w:eastAsia="zh-CN"/>
        </w:rPr>
      </w:pPr>
      <w:r>
        <w:rPr>
          <w:rFonts w:hint="eastAsia" w:cs="Times New Roman"/>
          <w:b/>
          <w:bCs/>
          <w:i w:val="0"/>
          <w:iCs w:val="0"/>
          <w:kern w:val="0"/>
          <w:sz w:val="20"/>
          <w:szCs w:val="20"/>
          <w:highlight w:val="none"/>
          <w:lang w:val="en-US" w:eastAsia="zh-CN"/>
        </w:rPr>
        <w:t>Proposal 3. Except in-gap ACS/IBB, the in-gap n</w:t>
      </w:r>
      <w:r>
        <w:rPr>
          <w:rFonts w:hint="eastAsia"/>
          <w:b/>
          <w:bCs/>
          <w:sz w:val="20"/>
          <w:szCs w:val="20"/>
          <w:lang w:val="en-US" w:eastAsia="zh-CN"/>
        </w:rPr>
        <w:t>arrow band blocking should also need to be checked when reducing the Rx chain.</w:t>
      </w:r>
    </w:p>
    <w:p>
      <w:pPr>
        <w:keepNext/>
        <w:keepLines/>
        <w:pageBreakBefore w:val="0"/>
        <w:widowControl w:val="0"/>
        <w:suppressLineNumbers w:val="0"/>
        <w:kinsoku/>
        <w:wordWrap/>
        <w:topLinePunct w:val="0"/>
        <w:bidi w:val="0"/>
        <w:snapToGrid/>
        <w:jc w:val="left"/>
        <w:rPr>
          <w:rFonts w:hint="eastAsia"/>
          <w:sz w:val="20"/>
          <w:szCs w:val="20"/>
          <w:lang w:val="en-US" w:eastAsia="zh-CN"/>
        </w:rPr>
      </w:pPr>
      <w:r>
        <w:rPr>
          <w:rFonts w:hint="eastAsia"/>
          <w:sz w:val="20"/>
          <w:szCs w:val="20"/>
          <w:lang w:val="en-US" w:eastAsia="zh-CN"/>
        </w:rPr>
        <w:t>For ACS and in-band-blocking, they are already identified in the SID. For the in-gap ACS and in-gap in-band-blocking requirements, it is challenge for a UE to handle high interference signal level falls into the passband of the shared RF filter.</w:t>
      </w:r>
    </w:p>
    <w:p>
      <w:pPr>
        <w:keepNext/>
        <w:keepLines/>
        <w:pageBreakBefore w:val="0"/>
        <w:widowControl w:val="0"/>
        <w:suppressLineNumbers w:val="0"/>
        <w:kinsoku/>
        <w:wordWrap/>
        <w:topLinePunct w:val="0"/>
        <w:bidi w:val="0"/>
        <w:snapToGrid/>
        <w:jc w:val="left"/>
        <w:rPr>
          <w:rFonts w:hint="eastAsia"/>
          <w:sz w:val="20"/>
          <w:lang w:val="en-US" w:eastAsia="zh-CN"/>
        </w:rPr>
      </w:pPr>
      <w:r>
        <w:rPr>
          <w:rFonts w:hint="eastAsia"/>
          <w:sz w:val="20"/>
          <w:szCs w:val="20"/>
          <w:lang w:val="en-US" w:eastAsia="zh-CN"/>
        </w:rPr>
        <w:t xml:space="preserve">For intra-band NC CA ACS, in-band-blocking and narrow-band blocking requirements testing, </w:t>
      </w:r>
      <w:r>
        <w:rPr>
          <w:rFonts w:hint="eastAsia"/>
          <w:sz w:val="20"/>
          <w:lang w:val="en-US" w:eastAsia="zh-CN"/>
        </w:rPr>
        <w:t xml:space="preserve">in case of larger gap width, there are for test cases for the two DL carriers: </w:t>
      </w:r>
      <w:r>
        <w:rPr>
          <w:sz w:val="20"/>
        </w:rPr>
        <w:t>in-gap tests with positive and negative offsets and out-of-gap tests with positive and negative offsets</w:t>
      </w:r>
      <w:r>
        <w:rPr>
          <w:rFonts w:hint="eastAsia"/>
          <w:sz w:val="20"/>
          <w:lang w:val="en-US" w:eastAsia="zh-CN"/>
        </w:rPr>
        <w:t xml:space="preserve">, and all the DL </w:t>
      </w:r>
      <w:r>
        <w:rPr>
          <w:b w:val="0"/>
          <w:bCs/>
          <w:sz w:val="20"/>
        </w:rPr>
        <w:t>non-contiguous carriers</w:t>
      </w:r>
      <w:r>
        <w:rPr>
          <w:rFonts w:hint="eastAsia"/>
          <w:b w:val="0"/>
          <w:bCs/>
          <w:sz w:val="20"/>
          <w:lang w:val="en-US" w:eastAsia="zh-CN"/>
        </w:rPr>
        <w:t xml:space="preserve"> are tested</w:t>
      </w:r>
      <w:r>
        <w:rPr>
          <w:sz w:val="20"/>
        </w:rPr>
        <w:t xml:space="preserve"> simultaneous</w:t>
      </w:r>
      <w:r>
        <w:rPr>
          <w:rFonts w:hint="eastAsia"/>
          <w:sz w:val="20"/>
          <w:lang w:val="en-US" w:eastAsia="zh-CN"/>
        </w:rPr>
        <w:t xml:space="preserve">ly, i.e. all tha DL carriers are active. </w:t>
      </w:r>
      <w:r>
        <w:rPr>
          <w:sz w:val="20"/>
        </w:rPr>
        <w:t xml:space="preserve">For each of the four tests, </w:t>
      </w:r>
      <w:r>
        <w:rPr>
          <w:rFonts w:hint="eastAsia"/>
          <w:sz w:val="20"/>
          <w:lang w:val="en-US" w:eastAsia="zh-CN"/>
        </w:rPr>
        <w:t xml:space="preserve">each </w:t>
      </w:r>
      <w:r>
        <w:rPr>
          <w:sz w:val="20"/>
        </w:rPr>
        <w:t>downlink carrier satisfy the ACS</w:t>
      </w:r>
      <w:r>
        <w:rPr>
          <w:rFonts w:hint="eastAsia"/>
          <w:sz w:val="20"/>
          <w:lang w:val="en-US" w:eastAsia="zh-CN"/>
        </w:rPr>
        <w:t>/IBB</w:t>
      </w:r>
      <w:r>
        <w:rPr>
          <w:sz w:val="20"/>
        </w:rPr>
        <w:t xml:space="preserve"> requirements</w:t>
      </w:r>
      <w:r>
        <w:rPr>
          <w:rFonts w:hint="eastAsia"/>
          <w:sz w:val="20"/>
          <w:lang w:val="en-US" w:eastAsia="zh-CN"/>
        </w:rPr>
        <w:t xml:space="preserve"> of the single carrier</w:t>
      </w:r>
      <w:r>
        <w:rPr>
          <w:sz w:val="20"/>
        </w:rPr>
        <w:t>.</w:t>
      </w:r>
      <w:r>
        <w:rPr>
          <w:rFonts w:hint="eastAsia"/>
          <w:sz w:val="20"/>
          <w:lang w:val="en-US" w:eastAsia="zh-CN"/>
        </w:rPr>
        <w:t xml:space="preserve"> Moreover, if the gap width is small, usually the in-gap tests can be ignored.</w:t>
      </w:r>
    </w:p>
    <w:p>
      <w:pPr>
        <w:keepNext/>
        <w:keepLines/>
        <w:pageBreakBefore w:val="0"/>
        <w:widowControl w:val="0"/>
        <w:suppressLineNumbers w:val="0"/>
        <w:kinsoku/>
        <w:wordWrap/>
        <w:topLinePunct w:val="0"/>
        <w:bidi w:val="0"/>
        <w:snapToGrid/>
        <w:jc w:val="left"/>
        <w:rPr>
          <w:rFonts w:hint="default"/>
          <w:sz w:val="20"/>
          <w:lang w:val="en-US" w:eastAsia="zh-CN"/>
        </w:rPr>
      </w:pPr>
      <w:r>
        <w:rPr>
          <w:rFonts w:hint="eastAsia"/>
          <w:sz w:val="20"/>
          <w:lang w:val="en-US" w:eastAsia="zh-CN"/>
        </w:rPr>
        <w:t>Moreover, the in-gap tests is applied only if the Wgap satisfy the equation conditions as specified in the spec, which is:</w:t>
      </w:r>
    </w:p>
    <w:p>
      <w:pPr>
        <w:keepNext/>
        <w:keepLines/>
        <w:pageBreakBefore w:val="0"/>
        <w:widowControl w:val="0"/>
        <w:suppressLineNumbers w:val="0"/>
        <w:kinsoku/>
        <w:wordWrap/>
        <w:topLinePunct w:val="0"/>
        <w:bidi w:val="0"/>
        <w:snapToGrid/>
        <w:jc w:val="left"/>
      </w:pPr>
      <w:r>
        <w:drawing>
          <wp:inline distT="0" distB="0" distL="114300" distR="114300">
            <wp:extent cx="6103620" cy="1143000"/>
            <wp:effectExtent l="0" t="0" r="7620" b="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5"/>
                    <a:stretch>
                      <a:fillRect/>
                    </a:stretch>
                  </pic:blipFill>
                  <pic:spPr>
                    <a:xfrm>
                      <a:off x="0" y="0"/>
                      <a:ext cx="6103620" cy="1143000"/>
                    </a:xfrm>
                    <a:prstGeom prst="rect">
                      <a:avLst/>
                    </a:prstGeom>
                    <a:noFill/>
                    <a:ln>
                      <a:noFill/>
                    </a:ln>
                  </pic:spPr>
                </pic:pic>
              </a:graphicData>
            </a:graphic>
          </wp:inline>
        </w:drawing>
      </w:r>
    </w:p>
    <w:p>
      <w:pPr>
        <w:keepNext/>
        <w:keepLines/>
        <w:pageBreakBefore w:val="0"/>
        <w:widowControl w:val="0"/>
        <w:suppressLineNumbers w:val="0"/>
        <w:kinsoku/>
        <w:wordWrap/>
        <w:topLinePunct w:val="0"/>
        <w:bidi w:val="0"/>
        <w:snapToGrid/>
        <w:jc w:val="left"/>
        <w:rPr>
          <w:rFonts w:hint="default" w:eastAsia="宋体"/>
          <w:lang w:val="en-US" w:eastAsia="zh-CN"/>
        </w:rPr>
      </w:pPr>
      <w:r>
        <w:rPr>
          <w:rFonts w:hint="eastAsia"/>
          <w:lang w:val="en-US" w:eastAsia="zh-CN"/>
        </w:rPr>
        <w:t>In our understanding, the existing conditions of the Wgap shall be also applied for the shared RF chain.</w:t>
      </w:r>
    </w:p>
    <w:p>
      <w:pPr>
        <w:keepNext/>
        <w:keepLines/>
        <w:pageBreakBefore w:val="0"/>
        <w:widowControl w:val="0"/>
        <w:suppressLineNumbers w:val="0"/>
        <w:kinsoku/>
        <w:wordWrap/>
        <w:topLinePunct w:val="0"/>
        <w:bidi w:val="0"/>
        <w:snapToGrid/>
        <w:jc w:val="left"/>
        <w:rPr>
          <w:rFonts w:hint="eastAsia" w:cs="Times New Roman"/>
          <w:b/>
          <w:bCs/>
          <w:i w:val="0"/>
          <w:iCs w:val="0"/>
          <w:kern w:val="0"/>
          <w:sz w:val="20"/>
          <w:szCs w:val="20"/>
          <w:highlight w:val="none"/>
          <w:lang w:val="en-US" w:eastAsia="zh-CN"/>
        </w:rPr>
      </w:pPr>
      <w:r>
        <w:rPr>
          <w:rFonts w:hint="eastAsia" w:cs="Times New Roman"/>
          <w:b/>
          <w:bCs/>
          <w:i w:val="0"/>
          <w:iCs w:val="0"/>
          <w:kern w:val="0"/>
          <w:sz w:val="20"/>
          <w:szCs w:val="20"/>
          <w:highlight w:val="none"/>
          <w:lang w:val="en-US" w:eastAsia="zh-CN"/>
        </w:rPr>
        <w:t xml:space="preserve">Observation 4. For the two DL carrier, each </w:t>
      </w:r>
      <w:r>
        <w:rPr>
          <w:rFonts w:hint="eastAsia"/>
          <w:b/>
          <w:bCs/>
          <w:kern w:val="0"/>
          <w:sz w:val="20"/>
          <w:highlight w:val="none"/>
        </w:rPr>
        <w:t>carrier satisfy the ACS</w:t>
      </w:r>
      <w:r>
        <w:rPr>
          <w:rFonts w:hint="eastAsia"/>
          <w:b/>
          <w:bCs/>
          <w:kern w:val="0"/>
          <w:sz w:val="20"/>
          <w:highlight w:val="none"/>
          <w:lang w:val="en-US" w:eastAsia="zh-CN"/>
        </w:rPr>
        <w:t>/IBB/NBB</w:t>
      </w:r>
      <w:r>
        <w:rPr>
          <w:rFonts w:hint="eastAsia"/>
          <w:b/>
          <w:bCs/>
          <w:kern w:val="0"/>
          <w:sz w:val="20"/>
          <w:highlight w:val="none"/>
        </w:rPr>
        <w:t xml:space="preserve"> requirements</w:t>
      </w:r>
      <w:r>
        <w:rPr>
          <w:rFonts w:hint="eastAsia"/>
          <w:b/>
          <w:bCs/>
          <w:kern w:val="0"/>
          <w:sz w:val="20"/>
          <w:highlight w:val="none"/>
          <w:lang w:val="en-US" w:eastAsia="zh-CN"/>
        </w:rPr>
        <w:t xml:space="preserve"> of the single carrier for i</w:t>
      </w:r>
      <w:r>
        <w:rPr>
          <w:rFonts w:hint="eastAsia" w:cs="Times New Roman"/>
          <w:b/>
          <w:bCs/>
          <w:i w:val="0"/>
          <w:iCs w:val="0"/>
          <w:kern w:val="0"/>
          <w:sz w:val="20"/>
          <w:szCs w:val="20"/>
          <w:highlight w:val="none"/>
          <w:lang w:val="en-US" w:eastAsia="zh-CN"/>
        </w:rPr>
        <w:t>n-gap and out-of-gap testing.</w:t>
      </w:r>
    </w:p>
    <w:p>
      <w:pPr>
        <w:keepNext/>
        <w:keepLines/>
        <w:pageBreakBefore w:val="0"/>
        <w:widowControl w:val="0"/>
        <w:suppressLineNumbers w:val="0"/>
        <w:kinsoku/>
        <w:wordWrap/>
        <w:topLinePunct w:val="0"/>
        <w:bidi w:val="0"/>
        <w:snapToGrid/>
        <w:jc w:val="left"/>
        <w:rPr>
          <w:rFonts w:hint="default" w:cs="Times New Roman"/>
          <w:b/>
          <w:bCs/>
          <w:i w:val="0"/>
          <w:iCs w:val="0"/>
          <w:kern w:val="0"/>
          <w:sz w:val="20"/>
          <w:szCs w:val="20"/>
          <w:highlight w:val="none"/>
          <w:lang w:val="en-US" w:eastAsia="zh-CN"/>
        </w:rPr>
      </w:pPr>
      <w:r>
        <w:rPr>
          <w:rFonts w:hint="eastAsia" w:cs="Times New Roman"/>
          <w:b/>
          <w:bCs/>
          <w:i w:val="0"/>
          <w:iCs w:val="0"/>
          <w:kern w:val="0"/>
          <w:sz w:val="20"/>
          <w:szCs w:val="20"/>
          <w:highlight w:val="none"/>
          <w:lang w:val="en-US" w:eastAsia="zh-CN"/>
        </w:rPr>
        <w:t xml:space="preserve">Proposal 4: For the in-band gap test of ACS, IBB and NBB requirements, </w:t>
      </w:r>
      <w:r>
        <w:rPr>
          <w:rFonts w:hint="eastAsia"/>
          <w:b/>
          <w:bCs/>
          <w:lang w:val="en-US" w:eastAsia="zh-CN"/>
        </w:rPr>
        <w:t>the existing conditions of the Wgap shall be also applied for the shared RF chain.</w:t>
      </w:r>
    </w:p>
    <w:p>
      <w:pPr>
        <w:keepNext/>
        <w:keepLines/>
        <w:pageBreakBefore w:val="0"/>
        <w:widowControl w:val="0"/>
        <w:suppressLineNumbers w:val="0"/>
        <w:kinsoku/>
        <w:wordWrap/>
        <w:topLinePunct w:val="0"/>
        <w:bidi w:val="0"/>
        <w:snapToGrid/>
        <w:jc w:val="left"/>
        <w:rPr>
          <w:rFonts w:hint="default"/>
          <w:sz w:val="20"/>
          <w:szCs w:val="20"/>
          <w:lang w:val="en-US" w:eastAsia="zh-CN"/>
        </w:rPr>
      </w:pPr>
      <w:r>
        <w:rPr>
          <w:rFonts w:hint="eastAsia"/>
          <w:sz w:val="20"/>
          <w:szCs w:val="20"/>
          <w:lang w:val="en-US" w:eastAsia="zh-CN"/>
        </w:rPr>
        <w:t>ACS value is related to co-existence study, so we think it should be caution to modify the ACS dB level when reducing the Rx chain. Assuming that the ACS dB level is remained, then higher interference signal level would case more REFSEN degradation, as shown in Fig 4.</w:t>
      </w:r>
    </w:p>
    <w:p>
      <w:pPr>
        <w:keepNext/>
        <w:keepLines/>
        <w:pageBreakBefore w:val="0"/>
        <w:widowControl w:val="0"/>
        <w:suppressLineNumbers w:val="0"/>
        <w:kinsoku/>
        <w:wordWrap/>
        <w:topLinePunct w:val="0"/>
        <w:bidi w:val="0"/>
        <w:snapToGrid/>
        <w:jc w:val="center"/>
        <w:rPr>
          <w:rFonts w:hint="default"/>
          <w:sz w:val="20"/>
          <w:szCs w:val="20"/>
          <w:lang w:val="en-US" w:eastAsia="zh-CN"/>
        </w:rPr>
      </w:pPr>
      <w:r>
        <w:drawing>
          <wp:inline distT="0" distB="0" distL="114300" distR="114300">
            <wp:extent cx="3901440" cy="1592580"/>
            <wp:effectExtent l="0" t="0" r="0" b="762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6"/>
                    <a:stretch>
                      <a:fillRect/>
                    </a:stretch>
                  </pic:blipFill>
                  <pic:spPr>
                    <a:xfrm>
                      <a:off x="0" y="0"/>
                      <a:ext cx="3901440" cy="1592580"/>
                    </a:xfrm>
                    <a:prstGeom prst="rect">
                      <a:avLst/>
                    </a:prstGeom>
                    <a:noFill/>
                    <a:ln>
                      <a:noFill/>
                    </a:ln>
                  </pic:spPr>
                </pic:pic>
              </a:graphicData>
            </a:graphic>
          </wp:inline>
        </w:drawing>
      </w:r>
    </w:p>
    <w:p>
      <w:pPr>
        <w:keepNext/>
        <w:keepLines/>
        <w:pageBreakBefore w:val="0"/>
        <w:widowControl w:val="0"/>
        <w:suppressLineNumbers w:val="0"/>
        <w:kinsoku/>
        <w:wordWrap/>
        <w:topLinePunct w:val="0"/>
        <w:bidi w:val="0"/>
        <w:snapToGrid/>
        <w:jc w:val="center"/>
        <w:rPr>
          <w:rFonts w:hint="default"/>
          <w:sz w:val="20"/>
          <w:szCs w:val="20"/>
          <w:lang w:val="en-US" w:eastAsia="zh-CN"/>
        </w:rPr>
      </w:pPr>
      <w:r>
        <w:rPr>
          <w:rFonts w:hint="eastAsia"/>
          <w:sz w:val="20"/>
          <w:szCs w:val="20"/>
          <w:lang w:val="en-US" w:eastAsia="zh-CN"/>
        </w:rPr>
        <w:t>Fig 4. In-gap high interference cause high REFSEN degradation to maintain the same ACS level</w:t>
      </w:r>
    </w:p>
    <w:p>
      <w:pPr>
        <w:keepNext/>
        <w:keepLines/>
        <w:pageBreakBefore w:val="0"/>
        <w:widowControl w:val="0"/>
        <w:suppressLineNumbers w:val="0"/>
        <w:kinsoku/>
        <w:wordWrap/>
        <w:topLinePunct w:val="0"/>
        <w:bidi w:val="0"/>
        <w:snapToGrid/>
        <w:jc w:val="left"/>
        <w:rPr>
          <w:rFonts w:hint="eastAsia"/>
          <w:sz w:val="20"/>
          <w:lang w:val="en-US" w:eastAsia="zh-CN"/>
        </w:rPr>
      </w:pPr>
      <w:r>
        <w:rPr>
          <w:rFonts w:hint="eastAsia"/>
          <w:sz w:val="20"/>
          <w:lang w:val="en-US" w:eastAsia="zh-CN"/>
        </w:rPr>
        <w:t>In Fig 4, to keep the same ACS dB level, the interference signal level increase, the REFSEN degradation increase. This is similar for in-gap IBB requirements.</w:t>
      </w:r>
    </w:p>
    <w:p>
      <w:pPr>
        <w:keepNext w:val="0"/>
        <w:keepLines w:val="0"/>
        <w:pageBreakBefore w:val="0"/>
        <w:widowControl/>
        <w:suppressLineNumbers w:val="0"/>
        <w:kinsoku/>
        <w:wordWrap/>
        <w:topLinePunct w:val="0"/>
        <w:bidi w:val="0"/>
        <w:snapToGrid/>
        <w:jc w:val="left"/>
        <w:rPr>
          <w:rFonts w:hint="eastAsia"/>
          <w:sz w:val="20"/>
          <w:lang w:val="en-US" w:eastAsia="zh-CN"/>
        </w:rPr>
      </w:pPr>
      <w:r>
        <w:rPr>
          <w:rFonts w:hint="eastAsia"/>
          <w:sz w:val="20"/>
          <w:lang w:val="en-US" w:eastAsia="zh-CN"/>
        </w:rPr>
        <w:t xml:space="preserve">As mentioned in the SID, it is for </w:t>
      </w:r>
      <w:r>
        <w:rPr>
          <w:sz w:val="20"/>
          <w:szCs w:val="20"/>
        </w:rPr>
        <w:t>inter-operator co-located BS scenario</w:t>
      </w:r>
      <w:r>
        <w:rPr>
          <w:rFonts w:hint="eastAsia"/>
          <w:sz w:val="20"/>
          <w:lang w:val="en-US" w:eastAsia="zh-CN"/>
        </w:rPr>
        <w:t xml:space="preserve"> and check whether the existing Rx requirements can be adjusted. It is not clear for the </w:t>
      </w:r>
      <w:r>
        <w:rPr>
          <w:rFonts w:hint="default"/>
          <w:sz w:val="20"/>
          <w:lang w:val="en-US" w:eastAsia="zh-CN"/>
        </w:rPr>
        <w:t>‘</w:t>
      </w:r>
      <w:r>
        <w:rPr>
          <w:rFonts w:hint="eastAsia"/>
          <w:sz w:val="20"/>
          <w:lang w:val="en-US" w:eastAsia="zh-CN"/>
        </w:rPr>
        <w:t>RF requirements adjust</w:t>
      </w:r>
      <w:r>
        <w:rPr>
          <w:rFonts w:hint="default"/>
          <w:sz w:val="20"/>
          <w:lang w:val="en-US" w:eastAsia="zh-CN"/>
        </w:rPr>
        <w:t>’</w:t>
      </w:r>
      <w:r>
        <w:rPr>
          <w:rFonts w:hint="eastAsia"/>
          <w:sz w:val="20"/>
          <w:lang w:val="en-US" w:eastAsia="zh-CN"/>
        </w:rPr>
        <w:t>. In our understanding, the in-gap interference level between inter-operators depends on the coordination between the operators, but it seems it is highly implementation dependence. Maybe the in-gap interference level from operator A to operator B can keep in a certain low level which will not cause additional degradation. But anyway, we think the existing ACS(i.e. value in Table 7.5-1 in TS38.101-1) level should be maintained.</w:t>
      </w:r>
    </w:p>
    <w:p>
      <w:pPr>
        <w:keepNext/>
        <w:keepLines/>
        <w:pageBreakBefore w:val="0"/>
        <w:widowControl w:val="0"/>
        <w:suppressLineNumbers w:val="0"/>
        <w:kinsoku/>
        <w:wordWrap/>
        <w:topLinePunct w:val="0"/>
        <w:bidi w:val="0"/>
        <w:snapToGrid/>
        <w:jc w:val="left"/>
        <w:rPr>
          <w:rFonts w:hint="eastAsia"/>
          <w:b/>
          <w:bCs/>
          <w:kern w:val="0"/>
          <w:sz w:val="20"/>
          <w:highlight w:val="none"/>
          <w:lang w:val="en-US" w:eastAsia="zh-CN"/>
        </w:rPr>
      </w:pPr>
      <w:r>
        <w:rPr>
          <w:rFonts w:hint="eastAsia" w:cs="Times New Roman"/>
          <w:b/>
          <w:bCs/>
          <w:i w:val="0"/>
          <w:iCs w:val="0"/>
          <w:kern w:val="0"/>
          <w:sz w:val="20"/>
          <w:szCs w:val="20"/>
          <w:highlight w:val="none"/>
          <w:lang w:val="en-US" w:eastAsia="zh-CN"/>
        </w:rPr>
        <w:t xml:space="preserve">Proposal 5. </w:t>
      </w:r>
      <w:r>
        <w:rPr>
          <w:rFonts w:hint="eastAsia"/>
          <w:b/>
          <w:bCs/>
          <w:kern w:val="0"/>
          <w:sz w:val="20"/>
          <w:highlight w:val="none"/>
          <w:lang w:val="en-US" w:eastAsia="zh-CN"/>
        </w:rPr>
        <w:t>The existing ACS level should be maintained when reducing the Rx chain number.</w:t>
      </w:r>
    </w:p>
    <w:p>
      <w:pPr>
        <w:keepNext/>
        <w:keepLines/>
        <w:pageBreakBefore w:val="0"/>
        <w:widowControl w:val="0"/>
        <w:suppressLineNumbers w:val="0"/>
        <w:kinsoku/>
        <w:wordWrap/>
        <w:topLinePunct w:val="0"/>
        <w:bidi w:val="0"/>
        <w:snapToGrid/>
        <w:jc w:val="left"/>
        <w:rPr>
          <w:rFonts w:hint="eastAsia"/>
          <w:sz w:val="20"/>
          <w:szCs w:val="20"/>
          <w:lang w:val="en-US" w:eastAsia="zh-CN"/>
        </w:rPr>
      </w:pPr>
      <w:r>
        <w:rPr>
          <w:rFonts w:hint="eastAsia"/>
          <w:sz w:val="20"/>
          <w:lang w:val="en-US" w:eastAsia="zh-CN"/>
        </w:rPr>
        <w:t>Therefore, the adjustment for the RF requirements would be the test parameters like P</w:t>
      </w:r>
      <w:r>
        <w:rPr>
          <w:rFonts w:hint="eastAsia"/>
          <w:sz w:val="20"/>
          <w:vertAlign w:val="subscript"/>
          <w:lang w:val="en-US" w:eastAsia="zh-CN"/>
        </w:rPr>
        <w:t>interference</w:t>
      </w:r>
      <w:r>
        <w:rPr>
          <w:rFonts w:hint="eastAsia"/>
          <w:sz w:val="20"/>
          <w:lang w:val="en-US" w:eastAsia="zh-CN"/>
        </w:rPr>
        <w:t>, P</w:t>
      </w:r>
      <w:r>
        <w:rPr>
          <w:rFonts w:hint="eastAsia"/>
          <w:sz w:val="20"/>
          <w:vertAlign w:val="subscript"/>
          <w:lang w:val="en-US" w:eastAsia="zh-CN"/>
        </w:rPr>
        <w:t>wanted</w:t>
      </w:r>
      <w:r>
        <w:rPr>
          <w:rFonts w:hint="eastAsia"/>
          <w:sz w:val="20"/>
          <w:lang w:val="en-US" w:eastAsia="zh-CN"/>
        </w:rPr>
        <w:t xml:space="preserve"> and so on if high in-gap interference level is existed for </w:t>
      </w:r>
      <w:r>
        <w:rPr>
          <w:sz w:val="20"/>
          <w:szCs w:val="20"/>
        </w:rPr>
        <w:t>inter-operator co-located BS scenario</w:t>
      </w:r>
      <w:r>
        <w:rPr>
          <w:rFonts w:hint="eastAsia"/>
          <w:sz w:val="20"/>
          <w:szCs w:val="20"/>
          <w:lang w:val="en-US" w:eastAsia="zh-CN"/>
        </w:rPr>
        <w:t>.</w:t>
      </w:r>
    </w:p>
    <w:p>
      <w:pPr>
        <w:keepNext/>
        <w:keepLines/>
        <w:pageBreakBefore w:val="0"/>
        <w:widowControl w:val="0"/>
        <w:suppressLineNumbers w:val="0"/>
        <w:kinsoku/>
        <w:wordWrap/>
        <w:topLinePunct w:val="0"/>
        <w:bidi w:val="0"/>
        <w:snapToGrid/>
        <w:jc w:val="left"/>
        <w:rPr>
          <w:rFonts w:hint="default"/>
          <w:sz w:val="20"/>
          <w:szCs w:val="20"/>
          <w:lang w:val="en-US" w:eastAsia="zh-CN"/>
        </w:rPr>
      </w:pPr>
      <w:r>
        <w:rPr>
          <w:rFonts w:hint="eastAsia"/>
          <w:sz w:val="20"/>
          <w:szCs w:val="20"/>
          <w:lang w:val="en-US" w:eastAsia="zh-CN"/>
        </w:rPr>
        <w:t>Moreover, it mentioned that u</w:t>
      </w:r>
      <w:r>
        <w:rPr>
          <w:sz w:val="20"/>
          <w:szCs w:val="20"/>
        </w:rPr>
        <w:t xml:space="preserve">p to 6 dB DL received power </w:t>
      </w:r>
      <w:r>
        <w:rPr>
          <w:rFonts w:hint="eastAsia" w:eastAsia="PMingLiU"/>
          <w:sz w:val="20"/>
          <w:szCs w:val="20"/>
          <w:lang w:eastAsia="zh-TW"/>
        </w:rPr>
        <w:t>s</w:t>
      </w:r>
      <w:r>
        <w:rPr>
          <w:rFonts w:eastAsia="PMingLiU"/>
          <w:sz w:val="20"/>
          <w:szCs w:val="20"/>
          <w:lang w:eastAsia="zh-TW"/>
        </w:rPr>
        <w:t>pectral density</w:t>
      </w:r>
      <w:r>
        <w:rPr>
          <w:sz w:val="20"/>
          <w:szCs w:val="20"/>
        </w:rPr>
        <w:t xml:space="preserve"> imbalance between the two non-contiguous CCs</w:t>
      </w:r>
      <w:r>
        <w:rPr>
          <w:rFonts w:hint="eastAsia"/>
          <w:sz w:val="20"/>
          <w:szCs w:val="20"/>
          <w:lang w:val="en-US" w:eastAsia="zh-CN"/>
        </w:rPr>
        <w:t>. Note that it is PSD imbalance, rather than power imbalance. The power imbalance for the two CC equals to PSD imbalance + 10log(BW</w:t>
      </w:r>
      <w:r>
        <w:rPr>
          <w:rFonts w:hint="eastAsia"/>
          <w:sz w:val="20"/>
          <w:szCs w:val="20"/>
          <w:vertAlign w:val="subscript"/>
          <w:lang w:val="en-US" w:eastAsia="zh-CN"/>
        </w:rPr>
        <w:t>CC1</w:t>
      </w:r>
      <w:r>
        <w:rPr>
          <w:rFonts w:hint="eastAsia"/>
          <w:sz w:val="20"/>
          <w:szCs w:val="20"/>
          <w:lang w:val="en-US" w:eastAsia="zh-CN"/>
        </w:rPr>
        <w:t>/BW</w:t>
      </w:r>
      <w:r>
        <w:rPr>
          <w:rFonts w:hint="eastAsia"/>
          <w:sz w:val="20"/>
          <w:szCs w:val="20"/>
          <w:vertAlign w:val="subscript"/>
          <w:lang w:val="en-US" w:eastAsia="zh-CN"/>
        </w:rPr>
        <w:t>CC2</w:t>
      </w:r>
      <w:r>
        <w:rPr>
          <w:rFonts w:hint="eastAsia"/>
          <w:sz w:val="20"/>
          <w:szCs w:val="20"/>
          <w:lang w:val="en-US" w:eastAsia="zh-CN"/>
        </w:rPr>
        <w:t>), specially, when BW</w:t>
      </w:r>
      <w:r>
        <w:rPr>
          <w:rFonts w:hint="eastAsia"/>
          <w:sz w:val="20"/>
          <w:szCs w:val="20"/>
          <w:vertAlign w:val="subscript"/>
          <w:lang w:val="en-US" w:eastAsia="zh-CN"/>
        </w:rPr>
        <w:t>CC1</w:t>
      </w:r>
      <w:r>
        <w:rPr>
          <w:rFonts w:hint="eastAsia"/>
          <w:sz w:val="20"/>
          <w:szCs w:val="20"/>
          <w:lang w:val="en-US" w:eastAsia="zh-CN"/>
        </w:rPr>
        <w:t>=BW</w:t>
      </w:r>
      <w:r>
        <w:rPr>
          <w:rFonts w:hint="eastAsia"/>
          <w:sz w:val="20"/>
          <w:szCs w:val="20"/>
          <w:vertAlign w:val="subscript"/>
          <w:lang w:val="en-US" w:eastAsia="zh-CN"/>
        </w:rPr>
        <w:t>CC2</w:t>
      </w:r>
      <w:r>
        <w:rPr>
          <w:rFonts w:hint="eastAsia"/>
          <w:sz w:val="20"/>
          <w:szCs w:val="20"/>
          <w:lang w:val="en-US" w:eastAsia="zh-CN"/>
        </w:rPr>
        <w:t>, them PSD imbalance equal to power imbalance. When the BW</w:t>
      </w:r>
      <w:r>
        <w:rPr>
          <w:rFonts w:hint="eastAsia"/>
          <w:sz w:val="20"/>
          <w:szCs w:val="20"/>
          <w:vertAlign w:val="subscript"/>
          <w:lang w:val="en-US" w:eastAsia="zh-CN"/>
        </w:rPr>
        <w:t>CC1</w:t>
      </w:r>
      <w:r>
        <w:rPr>
          <w:rFonts w:hint="eastAsia"/>
          <w:sz w:val="20"/>
          <w:szCs w:val="20"/>
          <w:lang w:val="en-US" w:eastAsia="zh-CN"/>
        </w:rPr>
        <w:t>&gt;BW</w:t>
      </w:r>
      <w:r>
        <w:rPr>
          <w:rFonts w:hint="eastAsia"/>
          <w:sz w:val="20"/>
          <w:szCs w:val="20"/>
          <w:vertAlign w:val="subscript"/>
          <w:lang w:val="en-US" w:eastAsia="zh-CN"/>
        </w:rPr>
        <w:t>CC2</w:t>
      </w:r>
      <w:r>
        <w:rPr>
          <w:rFonts w:hint="eastAsia"/>
          <w:sz w:val="20"/>
          <w:szCs w:val="20"/>
          <w:vertAlign w:val="baseline"/>
          <w:lang w:val="en-US" w:eastAsia="zh-CN"/>
        </w:rPr>
        <w:t>, then the power imbalance would be larger than 6dB. In the other words, to keep the PSD imbalance, the power for the carrier who has larger channel bandwidth</w:t>
      </w:r>
    </w:p>
    <w:p>
      <w:pPr>
        <w:keepNext/>
        <w:keepLines/>
        <w:pageBreakBefore w:val="0"/>
        <w:widowControl w:val="0"/>
        <w:suppressLineNumbers w:val="0"/>
        <w:kinsoku/>
        <w:wordWrap/>
        <w:topLinePunct w:val="0"/>
        <w:bidi w:val="0"/>
        <w:snapToGrid/>
        <w:jc w:val="left"/>
        <w:rPr>
          <w:rFonts w:hint="eastAsia" w:cs="Times New Roman"/>
          <w:bCs/>
          <w:kern w:val="0"/>
          <w:sz w:val="20"/>
          <w:lang w:val="en-US" w:eastAsia="zh-CN"/>
        </w:rPr>
      </w:pPr>
      <w:r>
        <w:rPr>
          <w:rFonts w:hint="eastAsia" w:cs="Times New Roman"/>
          <w:b/>
          <w:bCs/>
          <w:i w:val="0"/>
          <w:iCs w:val="0"/>
          <w:kern w:val="0"/>
          <w:sz w:val="20"/>
          <w:szCs w:val="20"/>
          <w:highlight w:val="none"/>
          <w:lang w:val="en-US" w:eastAsia="zh-CN"/>
        </w:rPr>
        <w:t>Observation 5. With the PSD imbalance between two DL carriers up to 6dB, the power imbalance would be larger than 6dB considering the asymmetric carrier channel bandwidth.</w:t>
      </w:r>
      <w:r>
        <w:rPr>
          <w:rFonts w:hint="eastAsia" w:cs="Times New Roman"/>
          <w:bCs/>
          <w:kern w:val="0"/>
          <w:sz w:val="20"/>
          <w:lang w:val="en-US" w:eastAsia="zh-CN"/>
        </w:rPr>
        <w:t xml:space="preserve"> </w:t>
      </w:r>
    </w:p>
    <w:bookmarkEnd w:id="18"/>
    <w:bookmarkEnd w:id="19"/>
    <w:bookmarkEnd w:id="20"/>
    <w:bookmarkEnd w:id="21"/>
    <w:p>
      <w:pPr>
        <w:keepNext/>
        <w:keepLines/>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3 Conclusion</w:t>
      </w:r>
    </w:p>
    <w:p>
      <w:pPr>
        <w:keepNext/>
        <w:keepLines/>
        <w:pageBreakBefore w:val="0"/>
        <w:widowControl/>
        <w:suppressLineNumbers w:val="0"/>
        <w:kinsoku/>
        <w:wordWrap/>
        <w:topLinePunct w:val="0"/>
        <w:bidi w:val="0"/>
        <w:snapToGrid/>
        <w:spacing w:before="120" w:beforeLines="0" w:after="120" w:afterLines="0" w:line="240" w:lineRule="auto"/>
        <w:jc w:val="both"/>
        <w:rPr>
          <w:rFonts w:hint="eastAsia"/>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we give some initial discussion on fragment carriers by reducing the Rx chain. The conclusions are summarized in the following:</w:t>
      </w:r>
    </w:p>
    <w:p>
      <w:pPr>
        <w:keepNext/>
        <w:keepLines/>
        <w:pageBreakBefore w:val="0"/>
        <w:widowControl w:val="0"/>
        <w:suppressLineNumbers w:val="0"/>
        <w:kinsoku/>
        <w:wordWrap/>
        <w:topLinePunct w:val="0"/>
        <w:bidi w:val="0"/>
        <w:snapToGrid/>
        <w:jc w:val="left"/>
        <w:rPr>
          <w:rFonts w:hint="eastAsia" w:cs="Times New Roman"/>
          <w:b/>
          <w:bCs/>
          <w:kern w:val="0"/>
          <w:sz w:val="20"/>
          <w:szCs w:val="20"/>
          <w:highlight w:val="none"/>
          <w:lang w:val="en-US" w:eastAsia="zh-CN"/>
        </w:rPr>
      </w:pPr>
      <w:r>
        <w:rPr>
          <w:rFonts w:hint="eastAsia" w:cs="Times New Roman"/>
          <w:b/>
          <w:bCs/>
          <w:i w:val="0"/>
          <w:iCs w:val="0"/>
          <w:kern w:val="0"/>
          <w:sz w:val="20"/>
          <w:szCs w:val="20"/>
          <w:highlight w:val="none"/>
          <w:lang w:val="en-US" w:eastAsia="zh-CN"/>
        </w:rPr>
        <w:t xml:space="preserve">Observation 1. No </w:t>
      </w:r>
      <w:r>
        <w:rPr>
          <w:rFonts w:hint="default" w:ascii="Times New Roman" w:hAnsi="Times New Roman" w:cs="Times New Roman"/>
          <w:b/>
          <w:bCs/>
          <w:kern w:val="0"/>
          <w:sz w:val="20"/>
          <w:szCs w:val="20"/>
          <w:highlight w:val="none"/>
          <w:lang w:val="en-US" w:eastAsia="zh-CN"/>
        </w:rPr>
        <w:t>ΔR</w:t>
      </w:r>
      <w:r>
        <w:rPr>
          <w:rFonts w:hint="default" w:ascii="Times New Roman" w:hAnsi="Times New Roman" w:cs="Times New Roman"/>
          <w:b/>
          <w:bCs/>
          <w:kern w:val="0"/>
          <w:sz w:val="20"/>
          <w:szCs w:val="20"/>
          <w:highlight w:val="none"/>
          <w:vertAlign w:val="subscript"/>
          <w:lang w:val="en-US" w:eastAsia="zh-CN"/>
        </w:rPr>
        <w:t>IBNC</w:t>
      </w:r>
      <w:r>
        <w:rPr>
          <w:rFonts w:hint="eastAsia" w:cs="Times New Roman"/>
          <w:b/>
          <w:bCs/>
          <w:kern w:val="0"/>
          <w:sz w:val="20"/>
          <w:szCs w:val="20"/>
          <w:highlight w:val="none"/>
          <w:vertAlign w:val="subscript"/>
          <w:lang w:val="en-US" w:eastAsia="zh-CN"/>
        </w:rPr>
        <w:t xml:space="preserve"> </w:t>
      </w:r>
      <w:r>
        <w:rPr>
          <w:rFonts w:hint="eastAsia" w:cs="Times New Roman"/>
          <w:b/>
          <w:bCs/>
          <w:kern w:val="0"/>
          <w:sz w:val="20"/>
          <w:szCs w:val="20"/>
          <w:highlight w:val="none"/>
          <w:lang w:val="en-US" w:eastAsia="zh-CN"/>
        </w:rPr>
        <w:t>requirements defined for TDD intra-band non-contiguous CA.</w:t>
      </w:r>
    </w:p>
    <w:p>
      <w:pPr>
        <w:keepNext/>
        <w:keepLines/>
        <w:pageBreakBefore w:val="0"/>
        <w:widowControl w:val="0"/>
        <w:suppressLineNumbers w:val="0"/>
        <w:kinsoku/>
        <w:wordWrap/>
        <w:topLinePunct w:val="0"/>
        <w:bidi w:val="0"/>
        <w:snapToGrid/>
        <w:jc w:val="left"/>
        <w:rPr>
          <w:rFonts w:hint="eastAsia"/>
          <w:sz w:val="20"/>
          <w:szCs w:val="20"/>
          <w:lang w:val="en-US" w:eastAsia="zh-CN"/>
        </w:rPr>
      </w:pPr>
      <w:r>
        <w:rPr>
          <w:rFonts w:hint="eastAsia" w:cs="Times New Roman"/>
          <w:b/>
          <w:bCs/>
          <w:i w:val="0"/>
          <w:iCs w:val="0"/>
          <w:kern w:val="0"/>
          <w:sz w:val="20"/>
          <w:szCs w:val="20"/>
          <w:highlight w:val="none"/>
          <w:lang w:val="en-US" w:eastAsia="zh-CN"/>
        </w:rPr>
        <w:t>Observation 2.T</w:t>
      </w:r>
      <w:r>
        <w:rPr>
          <w:rFonts w:hint="eastAsia"/>
          <w:b/>
          <w:bCs/>
          <w:kern w:val="0"/>
          <w:sz w:val="20"/>
          <w:highlight w:val="none"/>
          <w:lang w:val="en-US" w:eastAsia="zh-CN"/>
        </w:rPr>
        <w:t>here is no impact on maximum input level requirements by</w:t>
      </w:r>
      <w:r>
        <w:rPr>
          <w:rFonts w:hint="eastAsia"/>
          <w:b/>
          <w:bCs/>
          <w:kern w:val="0"/>
          <w:sz w:val="20"/>
          <w:szCs w:val="20"/>
          <w:highlight w:val="none"/>
        </w:rPr>
        <w:t xml:space="preserve"> reducing the number of UE Rx chains</w:t>
      </w:r>
      <w:r>
        <w:rPr>
          <w:rFonts w:hint="eastAsia"/>
          <w:b/>
          <w:bCs/>
          <w:kern w:val="0"/>
          <w:sz w:val="20"/>
          <w:szCs w:val="20"/>
          <w:highlight w:val="none"/>
          <w:lang w:val="en-US" w:eastAsia="zh-CN"/>
        </w:rPr>
        <w:t>.</w:t>
      </w:r>
    </w:p>
    <w:p>
      <w:pPr>
        <w:keepNext/>
        <w:keepLines/>
        <w:pageBreakBefore w:val="0"/>
        <w:widowControl w:val="0"/>
        <w:suppressLineNumbers w:val="0"/>
        <w:kinsoku/>
        <w:wordWrap/>
        <w:topLinePunct w:val="0"/>
        <w:bidi w:val="0"/>
        <w:snapToGrid/>
        <w:jc w:val="left"/>
        <w:rPr>
          <w:rFonts w:hint="eastAsia"/>
          <w:sz w:val="20"/>
          <w:szCs w:val="20"/>
          <w:lang w:val="en-US" w:eastAsia="zh-CN"/>
        </w:rPr>
      </w:pPr>
      <w:r>
        <w:rPr>
          <w:rFonts w:hint="eastAsia" w:cs="Times New Roman"/>
          <w:b/>
          <w:bCs/>
          <w:i w:val="0"/>
          <w:iCs w:val="0"/>
          <w:kern w:val="0"/>
          <w:sz w:val="20"/>
          <w:szCs w:val="20"/>
          <w:highlight w:val="none"/>
          <w:lang w:val="en-US" w:eastAsia="zh-CN"/>
        </w:rPr>
        <w:t xml:space="preserve">Observation 3. The in-gap Rx requirements should be checked </w:t>
      </w:r>
      <w:r>
        <w:rPr>
          <w:rFonts w:hint="eastAsia"/>
          <w:b/>
          <w:bCs/>
          <w:sz w:val="20"/>
          <w:szCs w:val="20"/>
          <w:lang w:val="en-US" w:eastAsia="zh-CN"/>
        </w:rPr>
        <w:t>when reducing the Rx chain</w:t>
      </w:r>
      <w:r>
        <w:rPr>
          <w:rFonts w:hint="eastAsia" w:cs="Times New Roman"/>
          <w:b/>
          <w:bCs/>
          <w:i w:val="0"/>
          <w:iCs w:val="0"/>
          <w:kern w:val="0"/>
          <w:sz w:val="20"/>
          <w:szCs w:val="20"/>
          <w:highlight w:val="none"/>
          <w:lang w:val="en-US" w:eastAsia="zh-CN"/>
        </w:rPr>
        <w:t>.</w:t>
      </w:r>
    </w:p>
    <w:p>
      <w:pPr>
        <w:keepNext/>
        <w:keepLines/>
        <w:pageBreakBefore w:val="0"/>
        <w:widowControl w:val="0"/>
        <w:suppressLineNumbers w:val="0"/>
        <w:kinsoku/>
        <w:wordWrap/>
        <w:topLinePunct w:val="0"/>
        <w:bidi w:val="0"/>
        <w:snapToGrid/>
        <w:jc w:val="left"/>
        <w:rPr>
          <w:rFonts w:hint="eastAsia" w:cs="Times New Roman"/>
          <w:b/>
          <w:bCs/>
          <w:i w:val="0"/>
          <w:iCs w:val="0"/>
          <w:kern w:val="0"/>
          <w:sz w:val="20"/>
          <w:szCs w:val="20"/>
          <w:highlight w:val="none"/>
          <w:lang w:val="en-US" w:eastAsia="zh-CN"/>
        </w:rPr>
      </w:pPr>
      <w:r>
        <w:rPr>
          <w:rFonts w:hint="eastAsia" w:cs="Times New Roman"/>
          <w:b/>
          <w:bCs/>
          <w:i w:val="0"/>
          <w:iCs w:val="0"/>
          <w:kern w:val="0"/>
          <w:sz w:val="20"/>
          <w:szCs w:val="20"/>
          <w:highlight w:val="none"/>
          <w:lang w:val="en-US" w:eastAsia="zh-CN"/>
        </w:rPr>
        <w:t xml:space="preserve">Observation 4. For the two DL carrier, each </w:t>
      </w:r>
      <w:r>
        <w:rPr>
          <w:rFonts w:hint="eastAsia"/>
          <w:b/>
          <w:bCs/>
          <w:kern w:val="0"/>
          <w:sz w:val="20"/>
          <w:highlight w:val="none"/>
        </w:rPr>
        <w:t>carrier satisfy the ACS</w:t>
      </w:r>
      <w:r>
        <w:rPr>
          <w:rFonts w:hint="eastAsia"/>
          <w:b/>
          <w:bCs/>
          <w:kern w:val="0"/>
          <w:sz w:val="20"/>
          <w:highlight w:val="none"/>
          <w:lang w:val="en-US" w:eastAsia="zh-CN"/>
        </w:rPr>
        <w:t>/IBB/NBB</w:t>
      </w:r>
      <w:r>
        <w:rPr>
          <w:rFonts w:hint="eastAsia"/>
          <w:b/>
          <w:bCs/>
          <w:kern w:val="0"/>
          <w:sz w:val="20"/>
          <w:highlight w:val="none"/>
        </w:rPr>
        <w:t xml:space="preserve"> requirements</w:t>
      </w:r>
      <w:r>
        <w:rPr>
          <w:rFonts w:hint="eastAsia"/>
          <w:b/>
          <w:bCs/>
          <w:kern w:val="0"/>
          <w:sz w:val="20"/>
          <w:highlight w:val="none"/>
          <w:lang w:val="en-US" w:eastAsia="zh-CN"/>
        </w:rPr>
        <w:t xml:space="preserve"> of the single carrier for i</w:t>
      </w:r>
      <w:r>
        <w:rPr>
          <w:rFonts w:hint="eastAsia" w:cs="Times New Roman"/>
          <w:b/>
          <w:bCs/>
          <w:i w:val="0"/>
          <w:iCs w:val="0"/>
          <w:kern w:val="0"/>
          <w:sz w:val="20"/>
          <w:szCs w:val="20"/>
          <w:highlight w:val="none"/>
          <w:lang w:val="en-US" w:eastAsia="zh-CN"/>
        </w:rPr>
        <w:t>n-gap and out-of-gap testing.</w:t>
      </w:r>
    </w:p>
    <w:p>
      <w:pPr>
        <w:keepNext/>
        <w:keepLines/>
        <w:pageBreakBefore w:val="0"/>
        <w:widowControl w:val="0"/>
        <w:suppressLineNumbers w:val="0"/>
        <w:kinsoku/>
        <w:wordWrap/>
        <w:topLinePunct w:val="0"/>
        <w:bidi w:val="0"/>
        <w:snapToGrid/>
        <w:jc w:val="left"/>
        <w:rPr>
          <w:rFonts w:hint="eastAsia" w:cs="Times New Roman"/>
          <w:bCs/>
          <w:kern w:val="0"/>
          <w:sz w:val="20"/>
          <w:lang w:val="en-US" w:eastAsia="zh-CN"/>
        </w:rPr>
      </w:pPr>
      <w:r>
        <w:rPr>
          <w:rFonts w:hint="eastAsia" w:cs="Times New Roman"/>
          <w:b/>
          <w:bCs/>
          <w:i w:val="0"/>
          <w:iCs w:val="0"/>
          <w:kern w:val="0"/>
          <w:sz w:val="20"/>
          <w:szCs w:val="20"/>
          <w:highlight w:val="none"/>
          <w:lang w:val="en-US" w:eastAsia="zh-CN"/>
        </w:rPr>
        <w:t>Observation 5. With the PSD imbalance between two DL carriers up to 6dB, the power imbalance would be larger than 6dB considering the asymmetric carrier channel bandwidth.</w:t>
      </w:r>
      <w:r>
        <w:rPr>
          <w:rFonts w:hint="eastAsia" w:cs="Times New Roman"/>
          <w:bCs/>
          <w:kern w:val="0"/>
          <w:sz w:val="20"/>
          <w:lang w:val="en-US" w:eastAsia="zh-CN"/>
        </w:rPr>
        <w:t xml:space="preserve"> </w:t>
      </w:r>
    </w:p>
    <w:p>
      <w:pPr>
        <w:keepNext/>
        <w:keepLines/>
        <w:pageBreakBefore w:val="0"/>
        <w:widowControl w:val="0"/>
        <w:suppressLineNumbers w:val="0"/>
        <w:kinsoku/>
        <w:wordWrap/>
        <w:topLinePunct w:val="0"/>
        <w:bidi w:val="0"/>
        <w:snapToGrid/>
        <w:jc w:val="left"/>
        <w:rPr>
          <w:rFonts w:hint="eastAsia" w:cs="Times New Roman"/>
          <w:b w:val="0"/>
          <w:bCs w:val="0"/>
          <w:kern w:val="0"/>
          <w:sz w:val="20"/>
          <w:szCs w:val="20"/>
          <w:highlight w:val="none"/>
          <w:lang w:val="en-US" w:eastAsia="zh-CN"/>
        </w:rPr>
      </w:pPr>
      <w:r>
        <w:rPr>
          <w:rFonts w:hint="eastAsia" w:cs="Times New Roman"/>
          <w:b/>
          <w:bCs/>
          <w:i w:val="0"/>
          <w:iCs w:val="0"/>
          <w:kern w:val="0"/>
          <w:sz w:val="20"/>
          <w:szCs w:val="20"/>
          <w:highlight w:val="none"/>
          <w:lang w:val="en-US" w:eastAsia="zh-CN"/>
        </w:rPr>
        <w:t>Proposal 1. Both TDD and FDD intra-band DL contiguous CA should be included.</w:t>
      </w:r>
    </w:p>
    <w:p>
      <w:pPr>
        <w:keepNext/>
        <w:keepLines/>
        <w:pageBreakBefore w:val="0"/>
        <w:widowControl w:val="0"/>
        <w:suppressLineNumbers w:val="0"/>
        <w:kinsoku/>
        <w:wordWrap/>
        <w:topLinePunct w:val="0"/>
        <w:bidi w:val="0"/>
        <w:snapToGrid/>
        <w:jc w:val="left"/>
        <w:rPr>
          <w:rFonts w:hint="default"/>
          <w:b/>
          <w:bCs/>
          <w:kern w:val="0"/>
          <w:sz w:val="20"/>
          <w:highlight w:val="none"/>
          <w:lang w:val="en-US" w:eastAsia="zh-CN"/>
        </w:rPr>
      </w:pPr>
      <w:r>
        <w:rPr>
          <w:rFonts w:hint="eastAsia" w:cs="Times New Roman"/>
          <w:b/>
          <w:bCs/>
          <w:i w:val="0"/>
          <w:iCs w:val="0"/>
          <w:kern w:val="0"/>
          <w:sz w:val="20"/>
          <w:szCs w:val="20"/>
          <w:highlight w:val="none"/>
          <w:lang w:val="en-US" w:eastAsia="zh-CN"/>
        </w:rPr>
        <w:t xml:space="preserve">Proposal 2. </w:t>
      </w:r>
      <w:r>
        <w:rPr>
          <w:rFonts w:hint="eastAsia" w:cs="Times New Roman"/>
          <w:b/>
          <w:bCs/>
          <w:kern w:val="0"/>
          <w:sz w:val="20"/>
          <w:szCs w:val="20"/>
          <w:highlight w:val="none"/>
          <w:lang w:val="en-US" w:eastAsia="zh-CN"/>
        </w:rPr>
        <w:t xml:space="preserve">Re-evaluated the </w:t>
      </w:r>
      <w:r>
        <w:rPr>
          <w:rFonts w:hint="default" w:ascii="Times New Roman" w:hAnsi="Times New Roman" w:cs="Times New Roman"/>
          <w:b/>
          <w:bCs/>
          <w:kern w:val="0"/>
          <w:sz w:val="20"/>
          <w:szCs w:val="20"/>
          <w:highlight w:val="none"/>
          <w:lang w:val="en-US" w:eastAsia="zh-CN"/>
        </w:rPr>
        <w:t>ΔR</w:t>
      </w:r>
      <w:r>
        <w:rPr>
          <w:rFonts w:hint="default" w:ascii="Times New Roman" w:hAnsi="Times New Roman" w:cs="Times New Roman"/>
          <w:b/>
          <w:bCs/>
          <w:kern w:val="0"/>
          <w:sz w:val="20"/>
          <w:szCs w:val="20"/>
          <w:highlight w:val="none"/>
          <w:vertAlign w:val="subscript"/>
          <w:lang w:val="en-US" w:eastAsia="zh-CN"/>
        </w:rPr>
        <w:t>IBNC</w:t>
      </w:r>
      <w:r>
        <w:rPr>
          <w:rFonts w:hint="eastAsia" w:cs="Times New Roman"/>
          <w:b/>
          <w:bCs/>
          <w:kern w:val="0"/>
          <w:sz w:val="20"/>
          <w:szCs w:val="20"/>
          <w:highlight w:val="none"/>
          <w:lang w:val="en-US" w:eastAsia="zh-CN"/>
        </w:rPr>
        <w:t xml:space="preserve"> requirements based on the existing test points.</w:t>
      </w:r>
    </w:p>
    <w:p>
      <w:pPr>
        <w:keepNext/>
        <w:keepLines/>
        <w:pageBreakBefore w:val="0"/>
        <w:widowControl w:val="0"/>
        <w:suppressLineNumbers w:val="0"/>
        <w:kinsoku/>
        <w:wordWrap/>
        <w:topLinePunct w:val="0"/>
        <w:bidi w:val="0"/>
        <w:snapToGrid/>
        <w:jc w:val="left"/>
        <w:rPr>
          <w:rFonts w:hint="default"/>
          <w:sz w:val="20"/>
          <w:szCs w:val="20"/>
          <w:lang w:val="en-US" w:eastAsia="zh-CN"/>
        </w:rPr>
      </w:pPr>
      <w:r>
        <w:rPr>
          <w:rFonts w:hint="eastAsia" w:cs="Times New Roman"/>
          <w:b/>
          <w:bCs/>
          <w:i w:val="0"/>
          <w:iCs w:val="0"/>
          <w:kern w:val="0"/>
          <w:sz w:val="20"/>
          <w:szCs w:val="20"/>
          <w:highlight w:val="none"/>
          <w:lang w:val="en-US" w:eastAsia="zh-CN"/>
        </w:rPr>
        <w:t>Proposal 3. Except in-gap ACS/IBB, the in-gap n</w:t>
      </w:r>
      <w:r>
        <w:rPr>
          <w:rFonts w:hint="eastAsia"/>
          <w:b/>
          <w:bCs/>
          <w:sz w:val="20"/>
          <w:szCs w:val="20"/>
          <w:lang w:val="en-US" w:eastAsia="zh-CN"/>
        </w:rPr>
        <w:t>arrow band blocking should also need to be checked when reducing the Rx chain.</w:t>
      </w:r>
    </w:p>
    <w:p>
      <w:pPr>
        <w:keepNext/>
        <w:keepLines/>
        <w:pageBreakBefore w:val="0"/>
        <w:widowControl w:val="0"/>
        <w:suppressLineNumbers w:val="0"/>
        <w:kinsoku/>
        <w:wordWrap/>
        <w:topLinePunct w:val="0"/>
        <w:bidi w:val="0"/>
        <w:snapToGrid/>
        <w:jc w:val="left"/>
        <w:rPr>
          <w:rFonts w:hint="eastAsia"/>
          <w:b/>
          <w:bCs/>
          <w:lang w:val="en-US" w:eastAsia="zh-CN"/>
        </w:rPr>
      </w:pPr>
      <w:r>
        <w:rPr>
          <w:rFonts w:hint="eastAsia" w:cs="Times New Roman"/>
          <w:b/>
          <w:bCs/>
          <w:i w:val="0"/>
          <w:iCs w:val="0"/>
          <w:kern w:val="0"/>
          <w:sz w:val="20"/>
          <w:szCs w:val="20"/>
          <w:highlight w:val="none"/>
          <w:lang w:val="en-US" w:eastAsia="zh-CN"/>
        </w:rPr>
        <w:t xml:space="preserve">Proposal 4: For the in-band gap test of ACS, IBB and NBB requirements, </w:t>
      </w:r>
      <w:r>
        <w:rPr>
          <w:rFonts w:hint="eastAsia"/>
          <w:b/>
          <w:bCs/>
          <w:lang w:val="en-US" w:eastAsia="zh-CN"/>
        </w:rPr>
        <w:t>the existing conditions of the Wgap shall be also applied for the shared RF chain.</w:t>
      </w:r>
    </w:p>
    <w:p>
      <w:pPr>
        <w:keepNext/>
        <w:keepLines/>
        <w:pageBreakBefore w:val="0"/>
        <w:widowControl w:val="0"/>
        <w:suppressLineNumbers w:val="0"/>
        <w:kinsoku/>
        <w:wordWrap/>
        <w:topLinePunct w:val="0"/>
        <w:bidi w:val="0"/>
        <w:snapToGrid/>
        <w:jc w:val="left"/>
        <w:rPr>
          <w:rFonts w:hint="eastAsia"/>
          <w:b/>
          <w:bCs/>
          <w:kern w:val="0"/>
          <w:sz w:val="20"/>
          <w:highlight w:val="none"/>
          <w:lang w:val="en-US" w:eastAsia="zh-CN"/>
        </w:rPr>
      </w:pPr>
      <w:r>
        <w:rPr>
          <w:rFonts w:hint="eastAsia" w:cs="Times New Roman"/>
          <w:b/>
          <w:bCs/>
          <w:i w:val="0"/>
          <w:iCs w:val="0"/>
          <w:kern w:val="0"/>
          <w:sz w:val="20"/>
          <w:szCs w:val="20"/>
          <w:highlight w:val="none"/>
          <w:lang w:val="en-US" w:eastAsia="zh-CN"/>
        </w:rPr>
        <w:t xml:space="preserve">Proposal 5. </w:t>
      </w:r>
      <w:r>
        <w:rPr>
          <w:rFonts w:hint="eastAsia"/>
          <w:b/>
          <w:bCs/>
          <w:kern w:val="0"/>
          <w:sz w:val="20"/>
          <w:highlight w:val="none"/>
          <w:lang w:val="en-US" w:eastAsia="zh-CN"/>
        </w:rPr>
        <w:t>The existing ACS level should be maintained when reducing the Rx chain number.</w:t>
      </w:r>
    </w:p>
    <w:p>
      <w:pPr>
        <w:keepNext/>
        <w:keepLines/>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 xml:space="preserve">[1]  </w:t>
      </w:r>
      <w:r>
        <w:rPr>
          <w:rFonts w:hint="default"/>
          <w:sz w:val="20"/>
          <w:szCs w:val="20"/>
          <w:lang w:val="en-US" w:eastAsia="zh-CN"/>
        </w:rPr>
        <w:t>RP-241669</w:t>
      </w:r>
      <w:r>
        <w:rPr>
          <w:rFonts w:hint="eastAsia"/>
          <w:sz w:val="20"/>
          <w:szCs w:val="20"/>
          <w:lang w:val="en-US" w:eastAsia="zh-CN"/>
        </w:rPr>
        <w:t xml:space="preserve">, </w:t>
      </w:r>
      <w:r>
        <w:rPr>
          <w:rFonts w:hint="default"/>
          <w:sz w:val="20"/>
          <w:szCs w:val="20"/>
          <w:lang w:val="en-US" w:eastAsia="zh-CN"/>
        </w:rPr>
        <w:t xml:space="preserve">New SID: </w:t>
      </w:r>
      <w:bookmarkStart w:id="22" w:name="OLE_LINK6"/>
      <w:r>
        <w:rPr>
          <w:rFonts w:hint="default"/>
          <w:sz w:val="20"/>
          <w:szCs w:val="20"/>
          <w:lang w:val="en-US" w:eastAsia="zh-CN"/>
        </w:rPr>
        <w:t>Study on NR FR1 DL Fragmented Carriers</w:t>
      </w:r>
      <w:bookmarkEnd w:id="22"/>
      <w:r>
        <w:rPr>
          <w:rFonts w:hint="eastAsia"/>
          <w:sz w:val="20"/>
          <w:szCs w:val="20"/>
          <w:lang w:val="en-US" w:eastAsia="zh-CN"/>
        </w:rPr>
        <w:t xml:space="preserve">, </w:t>
      </w:r>
      <w:r>
        <w:rPr>
          <w:rFonts w:hint="default"/>
          <w:sz w:val="20"/>
          <w:szCs w:val="20"/>
          <w:lang w:val="en-US" w:eastAsia="zh-CN"/>
        </w:rPr>
        <w:t>MediaTek Inc.</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 xml:space="preserve">[2]  </w:t>
      </w:r>
      <w:r>
        <w:rPr>
          <w:rFonts w:hint="default"/>
          <w:sz w:val="20"/>
          <w:szCs w:val="20"/>
          <w:lang w:val="en-US" w:eastAsia="zh-CN"/>
        </w:rPr>
        <w:t>RP-241674</w:t>
      </w:r>
      <w:r>
        <w:rPr>
          <w:rFonts w:hint="eastAsia"/>
          <w:sz w:val="20"/>
          <w:szCs w:val="20"/>
          <w:lang w:val="en-US" w:eastAsia="zh-CN"/>
        </w:rPr>
        <w:t>, New WID: Rel-19 NR Carrier Aggregation (CA)/Dual Connectivity (DC) for x bands DL with y bands UL (x&lt;7, y&lt;3) and Supplementary Uplink (SUL) band combinations/CA band combinations with a single  SUL or two SUL cells, RAN4 chair (Huawei)</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p>
    <w:p>
      <w:pPr>
        <w:keepNext/>
        <w:keepLines/>
        <w:pageBreakBefore w:val="0"/>
        <w:widowControl w:val="0"/>
        <w:tabs>
          <w:tab w:val="left" w:pos="90"/>
          <w:tab w:val="left" w:pos="1868"/>
          <w:tab w:val="right" w:pos="10648"/>
        </w:tabs>
        <w:kinsoku/>
        <w:wordWrap/>
        <w:topLinePunct w:val="0"/>
        <w:bidi w:val="0"/>
        <w:snapToGrid/>
        <w:spacing w:before="53" w:beforeLines="0" w:afterLines="0"/>
        <w:jc w:val="left"/>
        <w:rPr>
          <w:rFonts w:hint="eastAsia" w:ascii="Times New Roman" w:hAnsi="Times New Roman" w:eastAsia="宋体" w:cs="Times New Roman"/>
          <w:b w:val="0"/>
          <w:bCs w:val="0"/>
          <w:color w:val="auto"/>
          <w:sz w:val="20"/>
          <w:szCs w:val="20"/>
          <w:highlight w:val="none"/>
          <w:lang w:val="en-US" w:eastAsia="zh-TW"/>
        </w:rPr>
      </w:pPr>
    </w:p>
    <w:p>
      <w:pPr>
        <w:keepNext/>
        <w:keepLines/>
        <w:pageBreakBefore w:val="0"/>
        <w:widowControl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TW"/>
        </w:rPr>
      </w:pPr>
    </w:p>
    <w:p>
      <w:pPr>
        <w:keepNext/>
        <w:keepLines/>
        <w:pageBreakBefore w:val="0"/>
        <w:widowControl w:val="0"/>
        <w:kinsoku/>
        <w:wordWrap/>
        <w:topLinePunct w:val="0"/>
        <w:bidi w:val="0"/>
        <w:snapToGrid/>
        <w:spacing w:beforeLines="0" w:afterLines="0" w:line="240" w:lineRule="auto"/>
        <w:jc w:val="left"/>
        <w:rPr>
          <w:highlight w:val="none"/>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6">
    <w:nsid w:val="6BF7230C"/>
    <w:multiLevelType w:val="multilevel"/>
    <w:tmpl w:val="6BF7230C"/>
    <w:lvl w:ilvl="0" w:tentative="0">
      <w:start w:val="1"/>
      <w:numFmt w:val="bullet"/>
      <w:lvlText w:val=""/>
      <w:lvlJc w:val="left"/>
      <w:pPr>
        <w:ind w:left="1331" w:hanging="480"/>
      </w:pPr>
      <w:rPr>
        <w:rFonts w:hint="default" w:ascii="Wingdings" w:hAnsi="Wingdings"/>
      </w:rPr>
    </w:lvl>
    <w:lvl w:ilvl="1" w:tentative="0">
      <w:start w:val="1"/>
      <w:numFmt w:val="bullet"/>
      <w:lvlText w:val=""/>
      <w:lvlJc w:val="left"/>
      <w:pPr>
        <w:ind w:left="1811" w:hanging="480"/>
      </w:pPr>
      <w:rPr>
        <w:rFonts w:hint="default" w:ascii="Wingdings" w:hAnsi="Wingdings"/>
      </w:rPr>
    </w:lvl>
    <w:lvl w:ilvl="2" w:tentative="0">
      <w:start w:val="1"/>
      <w:numFmt w:val="bullet"/>
      <w:lvlText w:val=""/>
      <w:lvlJc w:val="left"/>
      <w:pPr>
        <w:ind w:left="2291" w:hanging="480"/>
      </w:pPr>
      <w:rPr>
        <w:rFonts w:hint="default" w:ascii="Wingdings" w:hAnsi="Wingdings"/>
      </w:rPr>
    </w:lvl>
    <w:lvl w:ilvl="3" w:tentative="0">
      <w:start w:val="1"/>
      <w:numFmt w:val="bullet"/>
      <w:lvlText w:val=""/>
      <w:lvlJc w:val="left"/>
      <w:pPr>
        <w:ind w:left="2771" w:hanging="480"/>
      </w:pPr>
      <w:rPr>
        <w:rFonts w:hint="default" w:ascii="Wingdings" w:hAnsi="Wingdings"/>
      </w:rPr>
    </w:lvl>
    <w:lvl w:ilvl="4" w:tentative="0">
      <w:start w:val="1"/>
      <w:numFmt w:val="bullet"/>
      <w:lvlText w:val=""/>
      <w:lvlJc w:val="left"/>
      <w:pPr>
        <w:ind w:left="3251" w:hanging="480"/>
      </w:pPr>
      <w:rPr>
        <w:rFonts w:hint="default" w:ascii="Wingdings" w:hAnsi="Wingdings"/>
      </w:rPr>
    </w:lvl>
    <w:lvl w:ilvl="5" w:tentative="0">
      <w:start w:val="1"/>
      <w:numFmt w:val="bullet"/>
      <w:lvlText w:val=""/>
      <w:lvlJc w:val="left"/>
      <w:pPr>
        <w:ind w:left="3731" w:hanging="480"/>
      </w:pPr>
      <w:rPr>
        <w:rFonts w:hint="default" w:ascii="Wingdings" w:hAnsi="Wingdings"/>
      </w:rPr>
    </w:lvl>
    <w:lvl w:ilvl="6" w:tentative="0">
      <w:start w:val="1"/>
      <w:numFmt w:val="bullet"/>
      <w:lvlText w:val=""/>
      <w:lvlJc w:val="left"/>
      <w:pPr>
        <w:ind w:left="4211" w:hanging="480"/>
      </w:pPr>
      <w:rPr>
        <w:rFonts w:hint="default" w:ascii="Wingdings" w:hAnsi="Wingdings"/>
      </w:rPr>
    </w:lvl>
    <w:lvl w:ilvl="7" w:tentative="0">
      <w:start w:val="1"/>
      <w:numFmt w:val="bullet"/>
      <w:lvlText w:val=""/>
      <w:lvlJc w:val="left"/>
      <w:pPr>
        <w:ind w:left="4691" w:hanging="480"/>
      </w:pPr>
      <w:rPr>
        <w:rFonts w:hint="default" w:ascii="Wingdings" w:hAnsi="Wingdings"/>
      </w:rPr>
    </w:lvl>
    <w:lvl w:ilvl="8" w:tentative="0">
      <w:start w:val="1"/>
      <w:numFmt w:val="bullet"/>
      <w:lvlText w:val=""/>
      <w:lvlJc w:val="left"/>
      <w:pPr>
        <w:ind w:left="5171" w:hanging="480"/>
      </w:pPr>
      <w:rPr>
        <w:rFonts w:hint="default" w:ascii="Wingdings" w:hAnsi="Wingdings"/>
      </w:rPr>
    </w:lvl>
  </w:abstractNum>
  <w:num w:numId="1">
    <w:abstractNumId w:val="2"/>
  </w:num>
  <w:num w:numId="2">
    <w:abstractNumId w:val="5"/>
  </w:num>
  <w:num w:numId="3">
    <w:abstractNumId w:val="3"/>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1C84"/>
    <w:rsid w:val="00233D01"/>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0CB6"/>
    <w:rsid w:val="00365C81"/>
    <w:rsid w:val="00371A27"/>
    <w:rsid w:val="0037274A"/>
    <w:rsid w:val="00380EC3"/>
    <w:rsid w:val="00384FD2"/>
    <w:rsid w:val="0038701B"/>
    <w:rsid w:val="003875B1"/>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523C"/>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268E7"/>
    <w:rsid w:val="00D35BC4"/>
    <w:rsid w:val="00D52E7D"/>
    <w:rsid w:val="00D67AC0"/>
    <w:rsid w:val="00D67B5A"/>
    <w:rsid w:val="00D70142"/>
    <w:rsid w:val="00D7345C"/>
    <w:rsid w:val="00D75EDF"/>
    <w:rsid w:val="00DA28CF"/>
    <w:rsid w:val="00DA51C2"/>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82D17"/>
    <w:rsid w:val="011A0B49"/>
    <w:rsid w:val="014A0623"/>
    <w:rsid w:val="014C67F3"/>
    <w:rsid w:val="01536583"/>
    <w:rsid w:val="01572FC3"/>
    <w:rsid w:val="01764F01"/>
    <w:rsid w:val="01773BF8"/>
    <w:rsid w:val="01797025"/>
    <w:rsid w:val="018107C9"/>
    <w:rsid w:val="01854FE9"/>
    <w:rsid w:val="018D3104"/>
    <w:rsid w:val="018E207B"/>
    <w:rsid w:val="0190283E"/>
    <w:rsid w:val="019D155B"/>
    <w:rsid w:val="01A2338A"/>
    <w:rsid w:val="01A428BB"/>
    <w:rsid w:val="01AE307F"/>
    <w:rsid w:val="01B35169"/>
    <w:rsid w:val="01BA1962"/>
    <w:rsid w:val="01C00B7B"/>
    <w:rsid w:val="01CA5EE6"/>
    <w:rsid w:val="01D441F8"/>
    <w:rsid w:val="01D46B8D"/>
    <w:rsid w:val="01D866D8"/>
    <w:rsid w:val="01EE2663"/>
    <w:rsid w:val="01FB366B"/>
    <w:rsid w:val="01FD3930"/>
    <w:rsid w:val="020307DB"/>
    <w:rsid w:val="02036722"/>
    <w:rsid w:val="02117CDB"/>
    <w:rsid w:val="021B7C87"/>
    <w:rsid w:val="021E522C"/>
    <w:rsid w:val="022D4A6E"/>
    <w:rsid w:val="023B0A39"/>
    <w:rsid w:val="023C78A7"/>
    <w:rsid w:val="02444B7E"/>
    <w:rsid w:val="02445A3F"/>
    <w:rsid w:val="024929E9"/>
    <w:rsid w:val="024B023C"/>
    <w:rsid w:val="024D6B6A"/>
    <w:rsid w:val="02510B5E"/>
    <w:rsid w:val="02566C17"/>
    <w:rsid w:val="025F524E"/>
    <w:rsid w:val="02610521"/>
    <w:rsid w:val="02650658"/>
    <w:rsid w:val="026855D2"/>
    <w:rsid w:val="027275A1"/>
    <w:rsid w:val="027371D9"/>
    <w:rsid w:val="0276366F"/>
    <w:rsid w:val="027F646E"/>
    <w:rsid w:val="028C4EAA"/>
    <w:rsid w:val="028F6D4C"/>
    <w:rsid w:val="0291553A"/>
    <w:rsid w:val="029A69A7"/>
    <w:rsid w:val="029B04E7"/>
    <w:rsid w:val="02A64DF3"/>
    <w:rsid w:val="02BB5A8C"/>
    <w:rsid w:val="02C2332C"/>
    <w:rsid w:val="02DC3F9C"/>
    <w:rsid w:val="02DC73AA"/>
    <w:rsid w:val="02E015BB"/>
    <w:rsid w:val="02F12CE4"/>
    <w:rsid w:val="03073BDC"/>
    <w:rsid w:val="030B0647"/>
    <w:rsid w:val="030C40C1"/>
    <w:rsid w:val="03151C1F"/>
    <w:rsid w:val="03206AD1"/>
    <w:rsid w:val="03362153"/>
    <w:rsid w:val="033E5048"/>
    <w:rsid w:val="03445E8F"/>
    <w:rsid w:val="035154D3"/>
    <w:rsid w:val="03527C38"/>
    <w:rsid w:val="035402E6"/>
    <w:rsid w:val="0356746F"/>
    <w:rsid w:val="03746F87"/>
    <w:rsid w:val="037C4E46"/>
    <w:rsid w:val="03814F5B"/>
    <w:rsid w:val="038B3141"/>
    <w:rsid w:val="03966EAF"/>
    <w:rsid w:val="03A73C79"/>
    <w:rsid w:val="03A77DFA"/>
    <w:rsid w:val="03AB0B27"/>
    <w:rsid w:val="03B339B1"/>
    <w:rsid w:val="03C05350"/>
    <w:rsid w:val="03C1287B"/>
    <w:rsid w:val="03C36B0E"/>
    <w:rsid w:val="03CF67FA"/>
    <w:rsid w:val="03D047A4"/>
    <w:rsid w:val="03E358F3"/>
    <w:rsid w:val="03E84DE8"/>
    <w:rsid w:val="04030035"/>
    <w:rsid w:val="04251A4C"/>
    <w:rsid w:val="042D2E97"/>
    <w:rsid w:val="04305EA0"/>
    <w:rsid w:val="043865BF"/>
    <w:rsid w:val="044C78D8"/>
    <w:rsid w:val="04537B11"/>
    <w:rsid w:val="0457028C"/>
    <w:rsid w:val="04587CAC"/>
    <w:rsid w:val="04684A28"/>
    <w:rsid w:val="04685237"/>
    <w:rsid w:val="04782230"/>
    <w:rsid w:val="0479507E"/>
    <w:rsid w:val="04820023"/>
    <w:rsid w:val="048859D4"/>
    <w:rsid w:val="04894975"/>
    <w:rsid w:val="04B14B03"/>
    <w:rsid w:val="04B93BF5"/>
    <w:rsid w:val="04C21954"/>
    <w:rsid w:val="04DA1A87"/>
    <w:rsid w:val="04DE2DA3"/>
    <w:rsid w:val="04FF1C94"/>
    <w:rsid w:val="04FF7D5A"/>
    <w:rsid w:val="0502349F"/>
    <w:rsid w:val="05047ADF"/>
    <w:rsid w:val="05060F0D"/>
    <w:rsid w:val="050E7487"/>
    <w:rsid w:val="051126EC"/>
    <w:rsid w:val="05161D2D"/>
    <w:rsid w:val="0522500E"/>
    <w:rsid w:val="052E568F"/>
    <w:rsid w:val="053973F0"/>
    <w:rsid w:val="053E65E7"/>
    <w:rsid w:val="0555228E"/>
    <w:rsid w:val="055C5454"/>
    <w:rsid w:val="05601265"/>
    <w:rsid w:val="05770104"/>
    <w:rsid w:val="057D1D66"/>
    <w:rsid w:val="059D265F"/>
    <w:rsid w:val="05B245FF"/>
    <w:rsid w:val="05B2756C"/>
    <w:rsid w:val="05B92EC1"/>
    <w:rsid w:val="05D03328"/>
    <w:rsid w:val="05D73593"/>
    <w:rsid w:val="05E078B3"/>
    <w:rsid w:val="0601277E"/>
    <w:rsid w:val="060B1D8E"/>
    <w:rsid w:val="060C5AED"/>
    <w:rsid w:val="06103146"/>
    <w:rsid w:val="06172561"/>
    <w:rsid w:val="06190837"/>
    <w:rsid w:val="061E54DA"/>
    <w:rsid w:val="061E5E22"/>
    <w:rsid w:val="06212672"/>
    <w:rsid w:val="06460B91"/>
    <w:rsid w:val="0654187C"/>
    <w:rsid w:val="065475DE"/>
    <w:rsid w:val="065D586C"/>
    <w:rsid w:val="066F5412"/>
    <w:rsid w:val="06725291"/>
    <w:rsid w:val="06760DBE"/>
    <w:rsid w:val="067C28D6"/>
    <w:rsid w:val="068E06BC"/>
    <w:rsid w:val="069201CB"/>
    <w:rsid w:val="06A03E91"/>
    <w:rsid w:val="06A27E98"/>
    <w:rsid w:val="06AB7C30"/>
    <w:rsid w:val="06B741D9"/>
    <w:rsid w:val="06C457B6"/>
    <w:rsid w:val="06C55827"/>
    <w:rsid w:val="06CD4A70"/>
    <w:rsid w:val="06DF4C13"/>
    <w:rsid w:val="06E15D5B"/>
    <w:rsid w:val="06E7678C"/>
    <w:rsid w:val="06EC4A95"/>
    <w:rsid w:val="06F42A88"/>
    <w:rsid w:val="06F801C0"/>
    <w:rsid w:val="06F90600"/>
    <w:rsid w:val="06FB38AA"/>
    <w:rsid w:val="07147814"/>
    <w:rsid w:val="071C13A8"/>
    <w:rsid w:val="07346A0C"/>
    <w:rsid w:val="073D143C"/>
    <w:rsid w:val="07472F26"/>
    <w:rsid w:val="074855FD"/>
    <w:rsid w:val="074A1304"/>
    <w:rsid w:val="07627CA0"/>
    <w:rsid w:val="076319C4"/>
    <w:rsid w:val="076568B7"/>
    <w:rsid w:val="07691233"/>
    <w:rsid w:val="076C2757"/>
    <w:rsid w:val="077241E3"/>
    <w:rsid w:val="078C5933"/>
    <w:rsid w:val="078D336C"/>
    <w:rsid w:val="078D6829"/>
    <w:rsid w:val="07971B3F"/>
    <w:rsid w:val="07983294"/>
    <w:rsid w:val="07A5677E"/>
    <w:rsid w:val="07B51934"/>
    <w:rsid w:val="07B9290D"/>
    <w:rsid w:val="07BB64F5"/>
    <w:rsid w:val="07BE52B9"/>
    <w:rsid w:val="07D57946"/>
    <w:rsid w:val="07ED524D"/>
    <w:rsid w:val="080124E3"/>
    <w:rsid w:val="080C7FA0"/>
    <w:rsid w:val="08341060"/>
    <w:rsid w:val="084E1401"/>
    <w:rsid w:val="085C7468"/>
    <w:rsid w:val="086F6B40"/>
    <w:rsid w:val="08787FF0"/>
    <w:rsid w:val="0889002B"/>
    <w:rsid w:val="088E1335"/>
    <w:rsid w:val="08917469"/>
    <w:rsid w:val="08A44DA6"/>
    <w:rsid w:val="08AA245A"/>
    <w:rsid w:val="08BA6E24"/>
    <w:rsid w:val="08BE26EC"/>
    <w:rsid w:val="08C562FD"/>
    <w:rsid w:val="08CA27B1"/>
    <w:rsid w:val="08E916DF"/>
    <w:rsid w:val="08FC0AA5"/>
    <w:rsid w:val="090165D1"/>
    <w:rsid w:val="09066782"/>
    <w:rsid w:val="09127E2C"/>
    <w:rsid w:val="091619F5"/>
    <w:rsid w:val="09306537"/>
    <w:rsid w:val="09355076"/>
    <w:rsid w:val="09392119"/>
    <w:rsid w:val="09445E95"/>
    <w:rsid w:val="09543B3B"/>
    <w:rsid w:val="09600FBD"/>
    <w:rsid w:val="096D5B06"/>
    <w:rsid w:val="096F346B"/>
    <w:rsid w:val="098143BC"/>
    <w:rsid w:val="09A64164"/>
    <w:rsid w:val="09B236ED"/>
    <w:rsid w:val="09B3627A"/>
    <w:rsid w:val="09BD407A"/>
    <w:rsid w:val="09DA0E26"/>
    <w:rsid w:val="09E55691"/>
    <w:rsid w:val="09F50235"/>
    <w:rsid w:val="09F67CD5"/>
    <w:rsid w:val="0A082F22"/>
    <w:rsid w:val="0A0835C8"/>
    <w:rsid w:val="0A117603"/>
    <w:rsid w:val="0A145721"/>
    <w:rsid w:val="0A1F5AD1"/>
    <w:rsid w:val="0A250861"/>
    <w:rsid w:val="0A263AF2"/>
    <w:rsid w:val="0A3708FF"/>
    <w:rsid w:val="0A376B34"/>
    <w:rsid w:val="0A3A5FEA"/>
    <w:rsid w:val="0A3B01F9"/>
    <w:rsid w:val="0A3F0488"/>
    <w:rsid w:val="0A3F2600"/>
    <w:rsid w:val="0A402A36"/>
    <w:rsid w:val="0A4E6531"/>
    <w:rsid w:val="0A646846"/>
    <w:rsid w:val="0A9B1B16"/>
    <w:rsid w:val="0A9D2D7E"/>
    <w:rsid w:val="0A9E3D3D"/>
    <w:rsid w:val="0AA077E0"/>
    <w:rsid w:val="0AC0212C"/>
    <w:rsid w:val="0ACB2C6F"/>
    <w:rsid w:val="0ACE7EE0"/>
    <w:rsid w:val="0AD542C1"/>
    <w:rsid w:val="0AD862F0"/>
    <w:rsid w:val="0ADD5A20"/>
    <w:rsid w:val="0AE10FD9"/>
    <w:rsid w:val="0AF13898"/>
    <w:rsid w:val="0AFB3228"/>
    <w:rsid w:val="0AFC6C07"/>
    <w:rsid w:val="0B01011B"/>
    <w:rsid w:val="0B0F025C"/>
    <w:rsid w:val="0B0F0DA6"/>
    <w:rsid w:val="0B13439A"/>
    <w:rsid w:val="0B1A6333"/>
    <w:rsid w:val="0B261CCC"/>
    <w:rsid w:val="0B2713F4"/>
    <w:rsid w:val="0B3D701F"/>
    <w:rsid w:val="0B3E7DD7"/>
    <w:rsid w:val="0B447465"/>
    <w:rsid w:val="0B514A22"/>
    <w:rsid w:val="0B561995"/>
    <w:rsid w:val="0B5C2C2A"/>
    <w:rsid w:val="0B665E0A"/>
    <w:rsid w:val="0B6A2D95"/>
    <w:rsid w:val="0B6D0037"/>
    <w:rsid w:val="0B7B7DE4"/>
    <w:rsid w:val="0B8436DD"/>
    <w:rsid w:val="0B847B39"/>
    <w:rsid w:val="0B9E71DF"/>
    <w:rsid w:val="0BB524B8"/>
    <w:rsid w:val="0BC13973"/>
    <w:rsid w:val="0BC22C8E"/>
    <w:rsid w:val="0BC63DB2"/>
    <w:rsid w:val="0BCC4043"/>
    <w:rsid w:val="0BCC4B6A"/>
    <w:rsid w:val="0BE019C5"/>
    <w:rsid w:val="0BEB51A2"/>
    <w:rsid w:val="0BFF2578"/>
    <w:rsid w:val="0C0D0B43"/>
    <w:rsid w:val="0C1428F7"/>
    <w:rsid w:val="0C1E494F"/>
    <w:rsid w:val="0C3427D0"/>
    <w:rsid w:val="0C43327D"/>
    <w:rsid w:val="0C4426AF"/>
    <w:rsid w:val="0C4577EC"/>
    <w:rsid w:val="0C4F1BEB"/>
    <w:rsid w:val="0C572706"/>
    <w:rsid w:val="0C5C6396"/>
    <w:rsid w:val="0C6322E0"/>
    <w:rsid w:val="0C650A20"/>
    <w:rsid w:val="0C6E11B8"/>
    <w:rsid w:val="0C723CD1"/>
    <w:rsid w:val="0CA46DE6"/>
    <w:rsid w:val="0CAD5BD8"/>
    <w:rsid w:val="0CB66F5F"/>
    <w:rsid w:val="0CB752EB"/>
    <w:rsid w:val="0CB94808"/>
    <w:rsid w:val="0CC37BC2"/>
    <w:rsid w:val="0CD87ABE"/>
    <w:rsid w:val="0CDE4E9F"/>
    <w:rsid w:val="0CE26C42"/>
    <w:rsid w:val="0CE76B48"/>
    <w:rsid w:val="0CF62FDB"/>
    <w:rsid w:val="0CFB523A"/>
    <w:rsid w:val="0D226E9B"/>
    <w:rsid w:val="0D3F09CA"/>
    <w:rsid w:val="0D4B44A1"/>
    <w:rsid w:val="0D5A3E80"/>
    <w:rsid w:val="0D6E2620"/>
    <w:rsid w:val="0D704E21"/>
    <w:rsid w:val="0D7F48FE"/>
    <w:rsid w:val="0D824417"/>
    <w:rsid w:val="0D883C88"/>
    <w:rsid w:val="0D92310D"/>
    <w:rsid w:val="0D960D3E"/>
    <w:rsid w:val="0D966BF7"/>
    <w:rsid w:val="0DCC3AE8"/>
    <w:rsid w:val="0DD87842"/>
    <w:rsid w:val="0DE103EB"/>
    <w:rsid w:val="0DF202E1"/>
    <w:rsid w:val="0DF53CE3"/>
    <w:rsid w:val="0E0961C5"/>
    <w:rsid w:val="0E131C69"/>
    <w:rsid w:val="0E147898"/>
    <w:rsid w:val="0E273C25"/>
    <w:rsid w:val="0E2F216B"/>
    <w:rsid w:val="0E3352C6"/>
    <w:rsid w:val="0E5369F5"/>
    <w:rsid w:val="0E6271DF"/>
    <w:rsid w:val="0E6B26B6"/>
    <w:rsid w:val="0E6E6955"/>
    <w:rsid w:val="0E81568A"/>
    <w:rsid w:val="0E942250"/>
    <w:rsid w:val="0E963344"/>
    <w:rsid w:val="0E9E6E00"/>
    <w:rsid w:val="0EA40C1C"/>
    <w:rsid w:val="0EB12800"/>
    <w:rsid w:val="0EC1579C"/>
    <w:rsid w:val="0ECA331A"/>
    <w:rsid w:val="0ECB4993"/>
    <w:rsid w:val="0ECD6CC6"/>
    <w:rsid w:val="0ED01D5F"/>
    <w:rsid w:val="0ED50DDE"/>
    <w:rsid w:val="0EDC0FE7"/>
    <w:rsid w:val="0EDD1744"/>
    <w:rsid w:val="0EE525BE"/>
    <w:rsid w:val="0EEC6F1D"/>
    <w:rsid w:val="0EFE0728"/>
    <w:rsid w:val="0F0229D0"/>
    <w:rsid w:val="0F040FDD"/>
    <w:rsid w:val="0F103291"/>
    <w:rsid w:val="0F18065D"/>
    <w:rsid w:val="0F1D498B"/>
    <w:rsid w:val="0F337178"/>
    <w:rsid w:val="0F3A1695"/>
    <w:rsid w:val="0F41022A"/>
    <w:rsid w:val="0F575BC9"/>
    <w:rsid w:val="0F60682C"/>
    <w:rsid w:val="0F6763D9"/>
    <w:rsid w:val="0F715B2B"/>
    <w:rsid w:val="0F764270"/>
    <w:rsid w:val="0F7F273F"/>
    <w:rsid w:val="0F8418ED"/>
    <w:rsid w:val="0F957B47"/>
    <w:rsid w:val="0F98796C"/>
    <w:rsid w:val="0F9F6FA4"/>
    <w:rsid w:val="0FA65D5C"/>
    <w:rsid w:val="0FAD33DA"/>
    <w:rsid w:val="0FAF1A90"/>
    <w:rsid w:val="0FBE2A42"/>
    <w:rsid w:val="0FC17CCE"/>
    <w:rsid w:val="0FC424B9"/>
    <w:rsid w:val="0FD70565"/>
    <w:rsid w:val="0FEC680C"/>
    <w:rsid w:val="0FFD5040"/>
    <w:rsid w:val="10007AD6"/>
    <w:rsid w:val="100E19D0"/>
    <w:rsid w:val="101C4A03"/>
    <w:rsid w:val="101D0C86"/>
    <w:rsid w:val="101D4F1D"/>
    <w:rsid w:val="10227809"/>
    <w:rsid w:val="10240BF3"/>
    <w:rsid w:val="104A023B"/>
    <w:rsid w:val="10505F3B"/>
    <w:rsid w:val="105523FF"/>
    <w:rsid w:val="105D5531"/>
    <w:rsid w:val="1061732E"/>
    <w:rsid w:val="106D2686"/>
    <w:rsid w:val="106F0E5F"/>
    <w:rsid w:val="107C3E2C"/>
    <w:rsid w:val="107D41AE"/>
    <w:rsid w:val="108C2479"/>
    <w:rsid w:val="109A6911"/>
    <w:rsid w:val="10A81377"/>
    <w:rsid w:val="10B80E65"/>
    <w:rsid w:val="10C02B10"/>
    <w:rsid w:val="10C715C5"/>
    <w:rsid w:val="10D335EF"/>
    <w:rsid w:val="10E746EA"/>
    <w:rsid w:val="10E83FE0"/>
    <w:rsid w:val="10EC3168"/>
    <w:rsid w:val="10F52718"/>
    <w:rsid w:val="110E6D34"/>
    <w:rsid w:val="1116627D"/>
    <w:rsid w:val="112E3E1C"/>
    <w:rsid w:val="112F02E7"/>
    <w:rsid w:val="114028DC"/>
    <w:rsid w:val="116F1EB0"/>
    <w:rsid w:val="11765ED8"/>
    <w:rsid w:val="117B1D6A"/>
    <w:rsid w:val="117C2D9D"/>
    <w:rsid w:val="117F159E"/>
    <w:rsid w:val="11821DC9"/>
    <w:rsid w:val="118273C5"/>
    <w:rsid w:val="11921373"/>
    <w:rsid w:val="119C45DF"/>
    <w:rsid w:val="119D7849"/>
    <w:rsid w:val="11A61449"/>
    <w:rsid w:val="11B423B2"/>
    <w:rsid w:val="11C67B8F"/>
    <w:rsid w:val="11CE017F"/>
    <w:rsid w:val="11DD31CB"/>
    <w:rsid w:val="11E57D4F"/>
    <w:rsid w:val="11F92DAB"/>
    <w:rsid w:val="11FC38D5"/>
    <w:rsid w:val="12035CB0"/>
    <w:rsid w:val="1210682D"/>
    <w:rsid w:val="121563D9"/>
    <w:rsid w:val="122449D0"/>
    <w:rsid w:val="12286C59"/>
    <w:rsid w:val="122C5C28"/>
    <w:rsid w:val="123800F8"/>
    <w:rsid w:val="123A05DB"/>
    <w:rsid w:val="124240B9"/>
    <w:rsid w:val="12531C9B"/>
    <w:rsid w:val="125A117D"/>
    <w:rsid w:val="12680E73"/>
    <w:rsid w:val="127701EE"/>
    <w:rsid w:val="127E5AA6"/>
    <w:rsid w:val="128071C7"/>
    <w:rsid w:val="12893E38"/>
    <w:rsid w:val="128B2749"/>
    <w:rsid w:val="12971339"/>
    <w:rsid w:val="129811DB"/>
    <w:rsid w:val="1299232C"/>
    <w:rsid w:val="12AB7A32"/>
    <w:rsid w:val="12AE5F35"/>
    <w:rsid w:val="12B465F3"/>
    <w:rsid w:val="12BB6535"/>
    <w:rsid w:val="12C54464"/>
    <w:rsid w:val="12C7312B"/>
    <w:rsid w:val="12D14417"/>
    <w:rsid w:val="12D22971"/>
    <w:rsid w:val="12D85654"/>
    <w:rsid w:val="12DA5D22"/>
    <w:rsid w:val="12EE5106"/>
    <w:rsid w:val="13024DF8"/>
    <w:rsid w:val="1307341C"/>
    <w:rsid w:val="130E3629"/>
    <w:rsid w:val="13136909"/>
    <w:rsid w:val="131B39DD"/>
    <w:rsid w:val="131C5EAA"/>
    <w:rsid w:val="13246C2D"/>
    <w:rsid w:val="13283BA4"/>
    <w:rsid w:val="13332F77"/>
    <w:rsid w:val="13334E1C"/>
    <w:rsid w:val="13346EE4"/>
    <w:rsid w:val="13384952"/>
    <w:rsid w:val="1355107F"/>
    <w:rsid w:val="135D4D2E"/>
    <w:rsid w:val="1361635E"/>
    <w:rsid w:val="1366638D"/>
    <w:rsid w:val="136D76E8"/>
    <w:rsid w:val="137266E0"/>
    <w:rsid w:val="13A938D2"/>
    <w:rsid w:val="13AA5FA1"/>
    <w:rsid w:val="13C20262"/>
    <w:rsid w:val="13C36EB4"/>
    <w:rsid w:val="13D011ED"/>
    <w:rsid w:val="13D024B3"/>
    <w:rsid w:val="13D115EF"/>
    <w:rsid w:val="13D86A45"/>
    <w:rsid w:val="13DD445E"/>
    <w:rsid w:val="13FD073F"/>
    <w:rsid w:val="140171D9"/>
    <w:rsid w:val="1405674E"/>
    <w:rsid w:val="140815BB"/>
    <w:rsid w:val="14087FC1"/>
    <w:rsid w:val="14095006"/>
    <w:rsid w:val="141E583B"/>
    <w:rsid w:val="1424615D"/>
    <w:rsid w:val="142C143A"/>
    <w:rsid w:val="144039D1"/>
    <w:rsid w:val="144A1DD6"/>
    <w:rsid w:val="144A28D0"/>
    <w:rsid w:val="1459355A"/>
    <w:rsid w:val="145F07C7"/>
    <w:rsid w:val="14691748"/>
    <w:rsid w:val="146C5189"/>
    <w:rsid w:val="14816B50"/>
    <w:rsid w:val="148313F4"/>
    <w:rsid w:val="14934F1A"/>
    <w:rsid w:val="149559C4"/>
    <w:rsid w:val="14A759A3"/>
    <w:rsid w:val="14AC0C32"/>
    <w:rsid w:val="14C45576"/>
    <w:rsid w:val="14C76D6C"/>
    <w:rsid w:val="14DA3DA1"/>
    <w:rsid w:val="14DD2490"/>
    <w:rsid w:val="14E60B42"/>
    <w:rsid w:val="14EA1C4D"/>
    <w:rsid w:val="14ED662C"/>
    <w:rsid w:val="14F447EE"/>
    <w:rsid w:val="1515004B"/>
    <w:rsid w:val="15207BBA"/>
    <w:rsid w:val="152E361E"/>
    <w:rsid w:val="152F4E1B"/>
    <w:rsid w:val="153E164C"/>
    <w:rsid w:val="154D342A"/>
    <w:rsid w:val="15504F07"/>
    <w:rsid w:val="1559587F"/>
    <w:rsid w:val="1574662E"/>
    <w:rsid w:val="15751882"/>
    <w:rsid w:val="1575191B"/>
    <w:rsid w:val="157818C6"/>
    <w:rsid w:val="159F73BB"/>
    <w:rsid w:val="15B03F28"/>
    <w:rsid w:val="15D92CB3"/>
    <w:rsid w:val="15DE29CF"/>
    <w:rsid w:val="15E30A80"/>
    <w:rsid w:val="15F77CD3"/>
    <w:rsid w:val="16053765"/>
    <w:rsid w:val="1608480E"/>
    <w:rsid w:val="161C1C58"/>
    <w:rsid w:val="162C4E62"/>
    <w:rsid w:val="162F7556"/>
    <w:rsid w:val="16413A3A"/>
    <w:rsid w:val="1644500C"/>
    <w:rsid w:val="16461A95"/>
    <w:rsid w:val="16594F06"/>
    <w:rsid w:val="1663404B"/>
    <w:rsid w:val="166F5E80"/>
    <w:rsid w:val="16766A92"/>
    <w:rsid w:val="167A52A9"/>
    <w:rsid w:val="16866882"/>
    <w:rsid w:val="168805E9"/>
    <w:rsid w:val="168C392F"/>
    <w:rsid w:val="168F69F2"/>
    <w:rsid w:val="16916CB7"/>
    <w:rsid w:val="169C7FDE"/>
    <w:rsid w:val="16A4319F"/>
    <w:rsid w:val="16AC4DDB"/>
    <w:rsid w:val="16AE2FE3"/>
    <w:rsid w:val="16B4400E"/>
    <w:rsid w:val="16BB694C"/>
    <w:rsid w:val="16BD0D3D"/>
    <w:rsid w:val="16BD5355"/>
    <w:rsid w:val="16C739DF"/>
    <w:rsid w:val="16D614D6"/>
    <w:rsid w:val="16DD3B26"/>
    <w:rsid w:val="16EB6E00"/>
    <w:rsid w:val="16F9473B"/>
    <w:rsid w:val="16FD2447"/>
    <w:rsid w:val="1707609C"/>
    <w:rsid w:val="170A651D"/>
    <w:rsid w:val="1712339A"/>
    <w:rsid w:val="171B5478"/>
    <w:rsid w:val="171E63FC"/>
    <w:rsid w:val="1722504D"/>
    <w:rsid w:val="172562BF"/>
    <w:rsid w:val="17276DF4"/>
    <w:rsid w:val="1738730F"/>
    <w:rsid w:val="173B2DD6"/>
    <w:rsid w:val="17416499"/>
    <w:rsid w:val="17481B81"/>
    <w:rsid w:val="175007ED"/>
    <w:rsid w:val="17536547"/>
    <w:rsid w:val="175A036D"/>
    <w:rsid w:val="176B45C6"/>
    <w:rsid w:val="176C447F"/>
    <w:rsid w:val="17761009"/>
    <w:rsid w:val="17875303"/>
    <w:rsid w:val="1793626E"/>
    <w:rsid w:val="17A875F5"/>
    <w:rsid w:val="17B73278"/>
    <w:rsid w:val="17B92501"/>
    <w:rsid w:val="17D47866"/>
    <w:rsid w:val="17E66DD8"/>
    <w:rsid w:val="17E677E9"/>
    <w:rsid w:val="17E84839"/>
    <w:rsid w:val="17EE1403"/>
    <w:rsid w:val="17F25234"/>
    <w:rsid w:val="17FD061B"/>
    <w:rsid w:val="17FF6314"/>
    <w:rsid w:val="18005F41"/>
    <w:rsid w:val="18025414"/>
    <w:rsid w:val="18171305"/>
    <w:rsid w:val="18334194"/>
    <w:rsid w:val="183E1D37"/>
    <w:rsid w:val="184D0787"/>
    <w:rsid w:val="185D1883"/>
    <w:rsid w:val="18615557"/>
    <w:rsid w:val="18702224"/>
    <w:rsid w:val="18812331"/>
    <w:rsid w:val="18816F1C"/>
    <w:rsid w:val="18825229"/>
    <w:rsid w:val="18853F3E"/>
    <w:rsid w:val="188A0A21"/>
    <w:rsid w:val="18956393"/>
    <w:rsid w:val="1896279D"/>
    <w:rsid w:val="18A8582C"/>
    <w:rsid w:val="18B50543"/>
    <w:rsid w:val="18CD7A02"/>
    <w:rsid w:val="18DC65B5"/>
    <w:rsid w:val="18F621ED"/>
    <w:rsid w:val="19001FFC"/>
    <w:rsid w:val="190E2B4A"/>
    <w:rsid w:val="19256D7A"/>
    <w:rsid w:val="193275C2"/>
    <w:rsid w:val="19394FD2"/>
    <w:rsid w:val="193E37E1"/>
    <w:rsid w:val="194B2B2B"/>
    <w:rsid w:val="195B59A7"/>
    <w:rsid w:val="195F3A6C"/>
    <w:rsid w:val="19663168"/>
    <w:rsid w:val="19767855"/>
    <w:rsid w:val="19786B0A"/>
    <w:rsid w:val="199A2059"/>
    <w:rsid w:val="19A40C28"/>
    <w:rsid w:val="19B46E10"/>
    <w:rsid w:val="19C456C1"/>
    <w:rsid w:val="19C64218"/>
    <w:rsid w:val="19F061A1"/>
    <w:rsid w:val="1A020598"/>
    <w:rsid w:val="1A054259"/>
    <w:rsid w:val="1A081816"/>
    <w:rsid w:val="1A165171"/>
    <w:rsid w:val="1A2729ED"/>
    <w:rsid w:val="1A4858FF"/>
    <w:rsid w:val="1A4C698A"/>
    <w:rsid w:val="1A5E4B5A"/>
    <w:rsid w:val="1A672B1C"/>
    <w:rsid w:val="1A7A3787"/>
    <w:rsid w:val="1A8301C0"/>
    <w:rsid w:val="1A872248"/>
    <w:rsid w:val="1A944052"/>
    <w:rsid w:val="1A9B2279"/>
    <w:rsid w:val="1A9E2B36"/>
    <w:rsid w:val="1A9E6232"/>
    <w:rsid w:val="1AA74D3D"/>
    <w:rsid w:val="1AB34DB4"/>
    <w:rsid w:val="1AB613FD"/>
    <w:rsid w:val="1AB745F7"/>
    <w:rsid w:val="1ACB6E53"/>
    <w:rsid w:val="1ACF5EB8"/>
    <w:rsid w:val="1AD26086"/>
    <w:rsid w:val="1AD94C79"/>
    <w:rsid w:val="1AE013F8"/>
    <w:rsid w:val="1AE8570C"/>
    <w:rsid w:val="1AEE033B"/>
    <w:rsid w:val="1AF45AC8"/>
    <w:rsid w:val="1AFB06A3"/>
    <w:rsid w:val="1B0F19AE"/>
    <w:rsid w:val="1B0F40F3"/>
    <w:rsid w:val="1B2160BB"/>
    <w:rsid w:val="1B3637AD"/>
    <w:rsid w:val="1B3E0DB5"/>
    <w:rsid w:val="1B454C94"/>
    <w:rsid w:val="1B5258E6"/>
    <w:rsid w:val="1B6415FF"/>
    <w:rsid w:val="1B6C0DF0"/>
    <w:rsid w:val="1B76379D"/>
    <w:rsid w:val="1B7F6005"/>
    <w:rsid w:val="1B960AC2"/>
    <w:rsid w:val="1B9C269A"/>
    <w:rsid w:val="1B9E64C5"/>
    <w:rsid w:val="1BBE493C"/>
    <w:rsid w:val="1BC01115"/>
    <w:rsid w:val="1BC36606"/>
    <w:rsid w:val="1BC44015"/>
    <w:rsid w:val="1BCA6284"/>
    <w:rsid w:val="1BF006BF"/>
    <w:rsid w:val="1C013494"/>
    <w:rsid w:val="1C053414"/>
    <w:rsid w:val="1C0C6675"/>
    <w:rsid w:val="1C132CB9"/>
    <w:rsid w:val="1C273D33"/>
    <w:rsid w:val="1C3B3861"/>
    <w:rsid w:val="1C4032AB"/>
    <w:rsid w:val="1C4672ED"/>
    <w:rsid w:val="1C467AB6"/>
    <w:rsid w:val="1C5207A8"/>
    <w:rsid w:val="1C6277A9"/>
    <w:rsid w:val="1C724E93"/>
    <w:rsid w:val="1C7F54CE"/>
    <w:rsid w:val="1C7F743F"/>
    <w:rsid w:val="1C8A35E0"/>
    <w:rsid w:val="1C8C4AA9"/>
    <w:rsid w:val="1C8C604B"/>
    <w:rsid w:val="1C92160B"/>
    <w:rsid w:val="1C973EEF"/>
    <w:rsid w:val="1CA03243"/>
    <w:rsid w:val="1CAF5DB2"/>
    <w:rsid w:val="1CB26D23"/>
    <w:rsid w:val="1CB61741"/>
    <w:rsid w:val="1CCA25A4"/>
    <w:rsid w:val="1CCB34A2"/>
    <w:rsid w:val="1CCC26CA"/>
    <w:rsid w:val="1CD2156B"/>
    <w:rsid w:val="1CD41743"/>
    <w:rsid w:val="1CD44D3D"/>
    <w:rsid w:val="1CD53D0D"/>
    <w:rsid w:val="1CD63402"/>
    <w:rsid w:val="1CE615C9"/>
    <w:rsid w:val="1CF03A17"/>
    <w:rsid w:val="1CF34BDB"/>
    <w:rsid w:val="1D037029"/>
    <w:rsid w:val="1D04702B"/>
    <w:rsid w:val="1D3305FF"/>
    <w:rsid w:val="1D395282"/>
    <w:rsid w:val="1D413348"/>
    <w:rsid w:val="1D5F5386"/>
    <w:rsid w:val="1D7072CE"/>
    <w:rsid w:val="1D92018E"/>
    <w:rsid w:val="1D9E30A9"/>
    <w:rsid w:val="1DAA059B"/>
    <w:rsid w:val="1DAB1006"/>
    <w:rsid w:val="1DB33C11"/>
    <w:rsid w:val="1DC65562"/>
    <w:rsid w:val="1DD32F44"/>
    <w:rsid w:val="1DE94164"/>
    <w:rsid w:val="1DE94821"/>
    <w:rsid w:val="1DEA459C"/>
    <w:rsid w:val="1DEE1B11"/>
    <w:rsid w:val="1DEE780F"/>
    <w:rsid w:val="1E164B52"/>
    <w:rsid w:val="1E273844"/>
    <w:rsid w:val="1E2B6CB1"/>
    <w:rsid w:val="1E2F243E"/>
    <w:rsid w:val="1E455D19"/>
    <w:rsid w:val="1E595CAF"/>
    <w:rsid w:val="1E6607F9"/>
    <w:rsid w:val="1E805396"/>
    <w:rsid w:val="1E884F62"/>
    <w:rsid w:val="1E9D6342"/>
    <w:rsid w:val="1E9D6D15"/>
    <w:rsid w:val="1EA77730"/>
    <w:rsid w:val="1EC36E9D"/>
    <w:rsid w:val="1EC533A2"/>
    <w:rsid w:val="1EE25FDD"/>
    <w:rsid w:val="1EEE5C69"/>
    <w:rsid w:val="1EF5103F"/>
    <w:rsid w:val="1F090F9B"/>
    <w:rsid w:val="1F0E5D6B"/>
    <w:rsid w:val="1F2F3838"/>
    <w:rsid w:val="1F4E511E"/>
    <w:rsid w:val="1F4F2219"/>
    <w:rsid w:val="1F721405"/>
    <w:rsid w:val="1F852C7F"/>
    <w:rsid w:val="1F887E80"/>
    <w:rsid w:val="1F935819"/>
    <w:rsid w:val="1FA6556D"/>
    <w:rsid w:val="1FA92D3B"/>
    <w:rsid w:val="1FAF2571"/>
    <w:rsid w:val="1FC55EDA"/>
    <w:rsid w:val="1FCE593C"/>
    <w:rsid w:val="1FE312AC"/>
    <w:rsid w:val="1FEC5915"/>
    <w:rsid w:val="1FED32EF"/>
    <w:rsid w:val="201E3878"/>
    <w:rsid w:val="20350C87"/>
    <w:rsid w:val="20446081"/>
    <w:rsid w:val="204852AD"/>
    <w:rsid w:val="204E6676"/>
    <w:rsid w:val="205A5AA0"/>
    <w:rsid w:val="20773A28"/>
    <w:rsid w:val="208574F4"/>
    <w:rsid w:val="208E0979"/>
    <w:rsid w:val="208F6BAF"/>
    <w:rsid w:val="209C24BD"/>
    <w:rsid w:val="20A462BA"/>
    <w:rsid w:val="20A976E7"/>
    <w:rsid w:val="20AB4ADC"/>
    <w:rsid w:val="20AC7E9E"/>
    <w:rsid w:val="20BB50D0"/>
    <w:rsid w:val="20BF2AAC"/>
    <w:rsid w:val="20C849C7"/>
    <w:rsid w:val="20D07F44"/>
    <w:rsid w:val="20DF66D2"/>
    <w:rsid w:val="20E976FD"/>
    <w:rsid w:val="20EC3F2E"/>
    <w:rsid w:val="20EC7C3E"/>
    <w:rsid w:val="210548E9"/>
    <w:rsid w:val="2107210D"/>
    <w:rsid w:val="21124D15"/>
    <w:rsid w:val="21296345"/>
    <w:rsid w:val="213E4D66"/>
    <w:rsid w:val="213E7119"/>
    <w:rsid w:val="21800B85"/>
    <w:rsid w:val="21810744"/>
    <w:rsid w:val="218D6EF5"/>
    <w:rsid w:val="2195668B"/>
    <w:rsid w:val="219D0E63"/>
    <w:rsid w:val="21A130EA"/>
    <w:rsid w:val="21A64442"/>
    <w:rsid w:val="21B222BC"/>
    <w:rsid w:val="21BD09D7"/>
    <w:rsid w:val="21C267BF"/>
    <w:rsid w:val="21CD6BCD"/>
    <w:rsid w:val="21CE6067"/>
    <w:rsid w:val="21CF439A"/>
    <w:rsid w:val="21ED3089"/>
    <w:rsid w:val="21EF1937"/>
    <w:rsid w:val="21F00127"/>
    <w:rsid w:val="22045B97"/>
    <w:rsid w:val="221D2FA3"/>
    <w:rsid w:val="22247705"/>
    <w:rsid w:val="2226635F"/>
    <w:rsid w:val="222D4F0B"/>
    <w:rsid w:val="223D7545"/>
    <w:rsid w:val="22411D14"/>
    <w:rsid w:val="22423BE1"/>
    <w:rsid w:val="22454449"/>
    <w:rsid w:val="22500810"/>
    <w:rsid w:val="22550F14"/>
    <w:rsid w:val="226347BD"/>
    <w:rsid w:val="22682935"/>
    <w:rsid w:val="226F564C"/>
    <w:rsid w:val="22714CE9"/>
    <w:rsid w:val="2277260F"/>
    <w:rsid w:val="227C7BE1"/>
    <w:rsid w:val="228A4698"/>
    <w:rsid w:val="228D7F55"/>
    <w:rsid w:val="22945167"/>
    <w:rsid w:val="22A55CD5"/>
    <w:rsid w:val="22C74EE2"/>
    <w:rsid w:val="22CB6237"/>
    <w:rsid w:val="22CD14B5"/>
    <w:rsid w:val="22D928CE"/>
    <w:rsid w:val="22E02C6E"/>
    <w:rsid w:val="22E04FF4"/>
    <w:rsid w:val="22E1121B"/>
    <w:rsid w:val="22E22D4A"/>
    <w:rsid w:val="22E75D67"/>
    <w:rsid w:val="22EA4C70"/>
    <w:rsid w:val="22F75251"/>
    <w:rsid w:val="22F84EEE"/>
    <w:rsid w:val="22F86F75"/>
    <w:rsid w:val="22FA25EF"/>
    <w:rsid w:val="230E3A21"/>
    <w:rsid w:val="23131055"/>
    <w:rsid w:val="2316334C"/>
    <w:rsid w:val="232322D6"/>
    <w:rsid w:val="23325696"/>
    <w:rsid w:val="233369D9"/>
    <w:rsid w:val="233C6F76"/>
    <w:rsid w:val="233D7A71"/>
    <w:rsid w:val="2341526C"/>
    <w:rsid w:val="234449F5"/>
    <w:rsid w:val="234A29B4"/>
    <w:rsid w:val="23536618"/>
    <w:rsid w:val="236F5E31"/>
    <w:rsid w:val="236F7F8E"/>
    <w:rsid w:val="237D3B26"/>
    <w:rsid w:val="23816932"/>
    <w:rsid w:val="23A22D26"/>
    <w:rsid w:val="23A9484E"/>
    <w:rsid w:val="23AF669C"/>
    <w:rsid w:val="23B32F98"/>
    <w:rsid w:val="23B84268"/>
    <w:rsid w:val="23D03C50"/>
    <w:rsid w:val="23D17D7B"/>
    <w:rsid w:val="23D36D91"/>
    <w:rsid w:val="23D6056F"/>
    <w:rsid w:val="23EA25D3"/>
    <w:rsid w:val="23F70BA5"/>
    <w:rsid w:val="23F93D0D"/>
    <w:rsid w:val="2405417E"/>
    <w:rsid w:val="241B5C62"/>
    <w:rsid w:val="241D144D"/>
    <w:rsid w:val="242005F6"/>
    <w:rsid w:val="24553E8F"/>
    <w:rsid w:val="245872F9"/>
    <w:rsid w:val="245943D9"/>
    <w:rsid w:val="245D2237"/>
    <w:rsid w:val="245E6B64"/>
    <w:rsid w:val="2463385E"/>
    <w:rsid w:val="247B61EF"/>
    <w:rsid w:val="247F0848"/>
    <w:rsid w:val="248A1E01"/>
    <w:rsid w:val="24967323"/>
    <w:rsid w:val="249D5FC8"/>
    <w:rsid w:val="24A1538E"/>
    <w:rsid w:val="24A34F2A"/>
    <w:rsid w:val="24B9450F"/>
    <w:rsid w:val="24C83F94"/>
    <w:rsid w:val="24D706EC"/>
    <w:rsid w:val="24F60CDA"/>
    <w:rsid w:val="24FE1078"/>
    <w:rsid w:val="250B4793"/>
    <w:rsid w:val="250C0C1F"/>
    <w:rsid w:val="250D450C"/>
    <w:rsid w:val="25134332"/>
    <w:rsid w:val="25141A5B"/>
    <w:rsid w:val="2521546A"/>
    <w:rsid w:val="25225B0E"/>
    <w:rsid w:val="252B49E0"/>
    <w:rsid w:val="253A7D4E"/>
    <w:rsid w:val="253B247A"/>
    <w:rsid w:val="25734B61"/>
    <w:rsid w:val="257F0513"/>
    <w:rsid w:val="258F6BC4"/>
    <w:rsid w:val="25975923"/>
    <w:rsid w:val="259A3D0A"/>
    <w:rsid w:val="25A95F3E"/>
    <w:rsid w:val="25BF6041"/>
    <w:rsid w:val="25C35718"/>
    <w:rsid w:val="25C61809"/>
    <w:rsid w:val="25CF0252"/>
    <w:rsid w:val="25D0248E"/>
    <w:rsid w:val="25D52D1D"/>
    <w:rsid w:val="25F81D70"/>
    <w:rsid w:val="25FB5636"/>
    <w:rsid w:val="25FE58A9"/>
    <w:rsid w:val="26070462"/>
    <w:rsid w:val="260D2C45"/>
    <w:rsid w:val="26197DFF"/>
    <w:rsid w:val="262E1DA8"/>
    <w:rsid w:val="262F0AD0"/>
    <w:rsid w:val="26395C92"/>
    <w:rsid w:val="26484954"/>
    <w:rsid w:val="266237C3"/>
    <w:rsid w:val="26651F80"/>
    <w:rsid w:val="26671392"/>
    <w:rsid w:val="267031B7"/>
    <w:rsid w:val="267550B9"/>
    <w:rsid w:val="267A4B30"/>
    <w:rsid w:val="26C472EC"/>
    <w:rsid w:val="26D97CAE"/>
    <w:rsid w:val="26EC491A"/>
    <w:rsid w:val="26ED73E1"/>
    <w:rsid w:val="27047832"/>
    <w:rsid w:val="27204B5D"/>
    <w:rsid w:val="272F31A0"/>
    <w:rsid w:val="27342901"/>
    <w:rsid w:val="27383740"/>
    <w:rsid w:val="273D2762"/>
    <w:rsid w:val="27470B72"/>
    <w:rsid w:val="27525E32"/>
    <w:rsid w:val="27695E19"/>
    <w:rsid w:val="27722E60"/>
    <w:rsid w:val="2778582E"/>
    <w:rsid w:val="27806765"/>
    <w:rsid w:val="2798666E"/>
    <w:rsid w:val="279B1E53"/>
    <w:rsid w:val="27A14309"/>
    <w:rsid w:val="27AB7429"/>
    <w:rsid w:val="27C57B2B"/>
    <w:rsid w:val="27C8029E"/>
    <w:rsid w:val="27CC78AC"/>
    <w:rsid w:val="27CE1EA1"/>
    <w:rsid w:val="27D5047E"/>
    <w:rsid w:val="27DD45ED"/>
    <w:rsid w:val="27E27828"/>
    <w:rsid w:val="27E3651B"/>
    <w:rsid w:val="27E77DDC"/>
    <w:rsid w:val="27EC25E3"/>
    <w:rsid w:val="27ED0939"/>
    <w:rsid w:val="27F1498B"/>
    <w:rsid w:val="27FD624E"/>
    <w:rsid w:val="28027A71"/>
    <w:rsid w:val="281603B0"/>
    <w:rsid w:val="281F4F67"/>
    <w:rsid w:val="283744B4"/>
    <w:rsid w:val="28485D62"/>
    <w:rsid w:val="285560D7"/>
    <w:rsid w:val="28760CA0"/>
    <w:rsid w:val="288A05DD"/>
    <w:rsid w:val="28937D89"/>
    <w:rsid w:val="28C96C14"/>
    <w:rsid w:val="28E138E3"/>
    <w:rsid w:val="28E25FF0"/>
    <w:rsid w:val="28E74216"/>
    <w:rsid w:val="28E87EE4"/>
    <w:rsid w:val="28E9010A"/>
    <w:rsid w:val="28FC4395"/>
    <w:rsid w:val="2903396A"/>
    <w:rsid w:val="290A3B15"/>
    <w:rsid w:val="291C1880"/>
    <w:rsid w:val="29212936"/>
    <w:rsid w:val="294E766A"/>
    <w:rsid w:val="294F506D"/>
    <w:rsid w:val="295F09EE"/>
    <w:rsid w:val="2978319A"/>
    <w:rsid w:val="297A3E18"/>
    <w:rsid w:val="29A3014B"/>
    <w:rsid w:val="29A74CBD"/>
    <w:rsid w:val="29B01C34"/>
    <w:rsid w:val="29B16357"/>
    <w:rsid w:val="29BA0D88"/>
    <w:rsid w:val="29CF32B2"/>
    <w:rsid w:val="29D14F87"/>
    <w:rsid w:val="29DE15A2"/>
    <w:rsid w:val="29E30E04"/>
    <w:rsid w:val="29EF3680"/>
    <w:rsid w:val="29EF424E"/>
    <w:rsid w:val="29F93F5E"/>
    <w:rsid w:val="29FA7F26"/>
    <w:rsid w:val="29FD07C3"/>
    <w:rsid w:val="2A1640AA"/>
    <w:rsid w:val="2A23469B"/>
    <w:rsid w:val="2A35650F"/>
    <w:rsid w:val="2A405845"/>
    <w:rsid w:val="2A4D593F"/>
    <w:rsid w:val="2A5645FE"/>
    <w:rsid w:val="2A6920F5"/>
    <w:rsid w:val="2A6E31F8"/>
    <w:rsid w:val="2A8A2F9C"/>
    <w:rsid w:val="2A9A0A02"/>
    <w:rsid w:val="2AA077A9"/>
    <w:rsid w:val="2AA47476"/>
    <w:rsid w:val="2AA84680"/>
    <w:rsid w:val="2AA95326"/>
    <w:rsid w:val="2AAC5A06"/>
    <w:rsid w:val="2ABB3D6F"/>
    <w:rsid w:val="2AC70B30"/>
    <w:rsid w:val="2ACC2AAF"/>
    <w:rsid w:val="2AD74744"/>
    <w:rsid w:val="2AD91AC2"/>
    <w:rsid w:val="2AE57C95"/>
    <w:rsid w:val="2AF35C8B"/>
    <w:rsid w:val="2AFC7C8A"/>
    <w:rsid w:val="2B011AE9"/>
    <w:rsid w:val="2B0279D1"/>
    <w:rsid w:val="2B132265"/>
    <w:rsid w:val="2B1D1F04"/>
    <w:rsid w:val="2B214776"/>
    <w:rsid w:val="2B2843BE"/>
    <w:rsid w:val="2B2C240A"/>
    <w:rsid w:val="2B313FC1"/>
    <w:rsid w:val="2B347C14"/>
    <w:rsid w:val="2B39348E"/>
    <w:rsid w:val="2B437285"/>
    <w:rsid w:val="2B4D695C"/>
    <w:rsid w:val="2B514803"/>
    <w:rsid w:val="2B637D4B"/>
    <w:rsid w:val="2B6B1684"/>
    <w:rsid w:val="2B7B70BF"/>
    <w:rsid w:val="2B8B422C"/>
    <w:rsid w:val="2B9B2B99"/>
    <w:rsid w:val="2BA07D38"/>
    <w:rsid w:val="2BB960F0"/>
    <w:rsid w:val="2BC40957"/>
    <w:rsid w:val="2BCB5DAA"/>
    <w:rsid w:val="2BF369B9"/>
    <w:rsid w:val="2BFA0958"/>
    <w:rsid w:val="2BFC0A4A"/>
    <w:rsid w:val="2C094904"/>
    <w:rsid w:val="2C0E55A1"/>
    <w:rsid w:val="2C2E7508"/>
    <w:rsid w:val="2C3658B0"/>
    <w:rsid w:val="2C3A7BF6"/>
    <w:rsid w:val="2C425BCE"/>
    <w:rsid w:val="2C44676A"/>
    <w:rsid w:val="2C4605C2"/>
    <w:rsid w:val="2C4A080C"/>
    <w:rsid w:val="2C54533B"/>
    <w:rsid w:val="2C591378"/>
    <w:rsid w:val="2C733DF1"/>
    <w:rsid w:val="2C8F4862"/>
    <w:rsid w:val="2C9E5AC8"/>
    <w:rsid w:val="2CA2721B"/>
    <w:rsid w:val="2CB600FC"/>
    <w:rsid w:val="2D026315"/>
    <w:rsid w:val="2D0764BD"/>
    <w:rsid w:val="2D0B3169"/>
    <w:rsid w:val="2D0D4219"/>
    <w:rsid w:val="2D1F2D4D"/>
    <w:rsid w:val="2D26618C"/>
    <w:rsid w:val="2D2D2DE2"/>
    <w:rsid w:val="2D340E86"/>
    <w:rsid w:val="2D395427"/>
    <w:rsid w:val="2D3D0E02"/>
    <w:rsid w:val="2D3D5AFF"/>
    <w:rsid w:val="2D495609"/>
    <w:rsid w:val="2D5372BC"/>
    <w:rsid w:val="2D557FB4"/>
    <w:rsid w:val="2D5839DB"/>
    <w:rsid w:val="2D5C0B0F"/>
    <w:rsid w:val="2D62469E"/>
    <w:rsid w:val="2D690F6A"/>
    <w:rsid w:val="2D6B40A9"/>
    <w:rsid w:val="2D765922"/>
    <w:rsid w:val="2D892023"/>
    <w:rsid w:val="2D8A3FA2"/>
    <w:rsid w:val="2D925609"/>
    <w:rsid w:val="2D9767DC"/>
    <w:rsid w:val="2D980DDC"/>
    <w:rsid w:val="2D987372"/>
    <w:rsid w:val="2DC2086B"/>
    <w:rsid w:val="2DC35F89"/>
    <w:rsid w:val="2DCE26BE"/>
    <w:rsid w:val="2DCE5F69"/>
    <w:rsid w:val="2DD755E4"/>
    <w:rsid w:val="2DDD4F0A"/>
    <w:rsid w:val="2DED702C"/>
    <w:rsid w:val="2DF22567"/>
    <w:rsid w:val="2DF37ABF"/>
    <w:rsid w:val="2DF95234"/>
    <w:rsid w:val="2E031DA3"/>
    <w:rsid w:val="2E170B60"/>
    <w:rsid w:val="2E34792A"/>
    <w:rsid w:val="2E437E73"/>
    <w:rsid w:val="2E4F0E88"/>
    <w:rsid w:val="2E5034DC"/>
    <w:rsid w:val="2E572AB9"/>
    <w:rsid w:val="2E58199C"/>
    <w:rsid w:val="2E5A0B3B"/>
    <w:rsid w:val="2E7258DC"/>
    <w:rsid w:val="2E79458E"/>
    <w:rsid w:val="2E797A78"/>
    <w:rsid w:val="2E7C6A94"/>
    <w:rsid w:val="2E8321A5"/>
    <w:rsid w:val="2E8A404A"/>
    <w:rsid w:val="2E9F6D95"/>
    <w:rsid w:val="2EAE350B"/>
    <w:rsid w:val="2EB20A6C"/>
    <w:rsid w:val="2EBC2287"/>
    <w:rsid w:val="2EC86A5D"/>
    <w:rsid w:val="2ECA3116"/>
    <w:rsid w:val="2ED2618A"/>
    <w:rsid w:val="2EDD7896"/>
    <w:rsid w:val="2EEA6E65"/>
    <w:rsid w:val="2EFA17E9"/>
    <w:rsid w:val="2F00052B"/>
    <w:rsid w:val="2F0367CD"/>
    <w:rsid w:val="2F1251F2"/>
    <w:rsid w:val="2F377F11"/>
    <w:rsid w:val="2F400562"/>
    <w:rsid w:val="2F413F9F"/>
    <w:rsid w:val="2F444B61"/>
    <w:rsid w:val="2F484C94"/>
    <w:rsid w:val="2F4D49C0"/>
    <w:rsid w:val="2F4F6FBB"/>
    <w:rsid w:val="2F5E5B1E"/>
    <w:rsid w:val="2F664E2B"/>
    <w:rsid w:val="2F6C7BE3"/>
    <w:rsid w:val="2F783485"/>
    <w:rsid w:val="2F7F5C0B"/>
    <w:rsid w:val="2FA6492D"/>
    <w:rsid w:val="2FB829D9"/>
    <w:rsid w:val="2FBA5EC5"/>
    <w:rsid w:val="2FC972D2"/>
    <w:rsid w:val="2FD71CA4"/>
    <w:rsid w:val="2FDC6CBD"/>
    <w:rsid w:val="2FDD1BD8"/>
    <w:rsid w:val="2FF52C26"/>
    <w:rsid w:val="2FF93066"/>
    <w:rsid w:val="301103CD"/>
    <w:rsid w:val="30130869"/>
    <w:rsid w:val="301A71CE"/>
    <w:rsid w:val="301E049B"/>
    <w:rsid w:val="302A4BE6"/>
    <w:rsid w:val="302B1223"/>
    <w:rsid w:val="30307691"/>
    <w:rsid w:val="303867AA"/>
    <w:rsid w:val="304478EC"/>
    <w:rsid w:val="30477603"/>
    <w:rsid w:val="304917D1"/>
    <w:rsid w:val="306C0853"/>
    <w:rsid w:val="30761B12"/>
    <w:rsid w:val="30916BB1"/>
    <w:rsid w:val="30962F3E"/>
    <w:rsid w:val="30AA2585"/>
    <w:rsid w:val="30C16A19"/>
    <w:rsid w:val="30C72BF2"/>
    <w:rsid w:val="30CA4DB3"/>
    <w:rsid w:val="30D32236"/>
    <w:rsid w:val="30FA7530"/>
    <w:rsid w:val="30FF2795"/>
    <w:rsid w:val="310375CD"/>
    <w:rsid w:val="311611B3"/>
    <w:rsid w:val="31192C28"/>
    <w:rsid w:val="313052DD"/>
    <w:rsid w:val="313C313D"/>
    <w:rsid w:val="314E236F"/>
    <w:rsid w:val="315E0B07"/>
    <w:rsid w:val="31614403"/>
    <w:rsid w:val="31621F46"/>
    <w:rsid w:val="316E7CA0"/>
    <w:rsid w:val="317206BF"/>
    <w:rsid w:val="317932EA"/>
    <w:rsid w:val="317E5000"/>
    <w:rsid w:val="31B718F2"/>
    <w:rsid w:val="31BD323E"/>
    <w:rsid w:val="31D20051"/>
    <w:rsid w:val="31EF7EE8"/>
    <w:rsid w:val="3201404F"/>
    <w:rsid w:val="320901F5"/>
    <w:rsid w:val="320B7CCB"/>
    <w:rsid w:val="32105DE8"/>
    <w:rsid w:val="3235187E"/>
    <w:rsid w:val="3237186B"/>
    <w:rsid w:val="323B6798"/>
    <w:rsid w:val="323D5A9C"/>
    <w:rsid w:val="324274BC"/>
    <w:rsid w:val="32454376"/>
    <w:rsid w:val="32466B7E"/>
    <w:rsid w:val="32537B57"/>
    <w:rsid w:val="325F618E"/>
    <w:rsid w:val="32614B36"/>
    <w:rsid w:val="326A40B9"/>
    <w:rsid w:val="326B2DFA"/>
    <w:rsid w:val="326E5B28"/>
    <w:rsid w:val="32757E99"/>
    <w:rsid w:val="32766C80"/>
    <w:rsid w:val="328F5534"/>
    <w:rsid w:val="32910B8E"/>
    <w:rsid w:val="329234AC"/>
    <w:rsid w:val="329A6ACE"/>
    <w:rsid w:val="329B0193"/>
    <w:rsid w:val="32A230DB"/>
    <w:rsid w:val="32A73536"/>
    <w:rsid w:val="32DF351E"/>
    <w:rsid w:val="32EE5E41"/>
    <w:rsid w:val="32F37DFC"/>
    <w:rsid w:val="32F40F87"/>
    <w:rsid w:val="32FD7C76"/>
    <w:rsid w:val="330246BF"/>
    <w:rsid w:val="330C22FC"/>
    <w:rsid w:val="330F27A5"/>
    <w:rsid w:val="33247878"/>
    <w:rsid w:val="334B62AD"/>
    <w:rsid w:val="335046C5"/>
    <w:rsid w:val="33540E5D"/>
    <w:rsid w:val="335A0521"/>
    <w:rsid w:val="335E7B11"/>
    <w:rsid w:val="3364318B"/>
    <w:rsid w:val="33691888"/>
    <w:rsid w:val="336A499A"/>
    <w:rsid w:val="33714830"/>
    <w:rsid w:val="33737F51"/>
    <w:rsid w:val="337964FF"/>
    <w:rsid w:val="337D34FB"/>
    <w:rsid w:val="338A0D6A"/>
    <w:rsid w:val="3391740A"/>
    <w:rsid w:val="33BF4199"/>
    <w:rsid w:val="33D151B9"/>
    <w:rsid w:val="33FE62E7"/>
    <w:rsid w:val="340D25F6"/>
    <w:rsid w:val="34172EFD"/>
    <w:rsid w:val="34191E62"/>
    <w:rsid w:val="34204EC0"/>
    <w:rsid w:val="342B0377"/>
    <w:rsid w:val="342B76C7"/>
    <w:rsid w:val="342F2BD8"/>
    <w:rsid w:val="343627E9"/>
    <w:rsid w:val="343A1527"/>
    <w:rsid w:val="343C69D1"/>
    <w:rsid w:val="34447898"/>
    <w:rsid w:val="344E62FA"/>
    <w:rsid w:val="3472234D"/>
    <w:rsid w:val="347D500F"/>
    <w:rsid w:val="34830157"/>
    <w:rsid w:val="34872D27"/>
    <w:rsid w:val="349164BD"/>
    <w:rsid w:val="34A84B47"/>
    <w:rsid w:val="34BD02AE"/>
    <w:rsid w:val="34D949FE"/>
    <w:rsid w:val="34DA26A8"/>
    <w:rsid w:val="34E43AD1"/>
    <w:rsid w:val="34E960F1"/>
    <w:rsid w:val="34ED6696"/>
    <w:rsid w:val="34F67558"/>
    <w:rsid w:val="34F86F4F"/>
    <w:rsid w:val="350B42D5"/>
    <w:rsid w:val="350F6258"/>
    <w:rsid w:val="351A603C"/>
    <w:rsid w:val="351B6F23"/>
    <w:rsid w:val="352821F6"/>
    <w:rsid w:val="35387F19"/>
    <w:rsid w:val="3539550B"/>
    <w:rsid w:val="353C7CFC"/>
    <w:rsid w:val="356678B4"/>
    <w:rsid w:val="3573649F"/>
    <w:rsid w:val="357E4B0A"/>
    <w:rsid w:val="35866D7F"/>
    <w:rsid w:val="358F6BDF"/>
    <w:rsid w:val="35A26D98"/>
    <w:rsid w:val="35C06D50"/>
    <w:rsid w:val="35C83CF1"/>
    <w:rsid w:val="35D24294"/>
    <w:rsid w:val="35D30A69"/>
    <w:rsid w:val="35FF6F3C"/>
    <w:rsid w:val="36075F27"/>
    <w:rsid w:val="36121506"/>
    <w:rsid w:val="361628D7"/>
    <w:rsid w:val="361D7A43"/>
    <w:rsid w:val="361E53C2"/>
    <w:rsid w:val="361F3323"/>
    <w:rsid w:val="36402EFA"/>
    <w:rsid w:val="364271C9"/>
    <w:rsid w:val="36496A51"/>
    <w:rsid w:val="365623F6"/>
    <w:rsid w:val="36670090"/>
    <w:rsid w:val="366D70A8"/>
    <w:rsid w:val="368230C6"/>
    <w:rsid w:val="368F7E4F"/>
    <w:rsid w:val="36900EB9"/>
    <w:rsid w:val="36985297"/>
    <w:rsid w:val="369F633B"/>
    <w:rsid w:val="36A30FDB"/>
    <w:rsid w:val="36A7007C"/>
    <w:rsid w:val="36B24AE8"/>
    <w:rsid w:val="36BD0DC4"/>
    <w:rsid w:val="36C621CD"/>
    <w:rsid w:val="36D51D00"/>
    <w:rsid w:val="36D66B5E"/>
    <w:rsid w:val="36E93760"/>
    <w:rsid w:val="36FB4305"/>
    <w:rsid w:val="37022E5B"/>
    <w:rsid w:val="3708597F"/>
    <w:rsid w:val="37096815"/>
    <w:rsid w:val="370F7060"/>
    <w:rsid w:val="37134801"/>
    <w:rsid w:val="37150C16"/>
    <w:rsid w:val="37173233"/>
    <w:rsid w:val="37226558"/>
    <w:rsid w:val="3734159D"/>
    <w:rsid w:val="37382526"/>
    <w:rsid w:val="374E78C1"/>
    <w:rsid w:val="3758590A"/>
    <w:rsid w:val="37602E60"/>
    <w:rsid w:val="377852C0"/>
    <w:rsid w:val="378229A7"/>
    <w:rsid w:val="3784394E"/>
    <w:rsid w:val="37987437"/>
    <w:rsid w:val="37C94031"/>
    <w:rsid w:val="37CA042E"/>
    <w:rsid w:val="37D44549"/>
    <w:rsid w:val="37D77B09"/>
    <w:rsid w:val="37D97EDE"/>
    <w:rsid w:val="37DA45C2"/>
    <w:rsid w:val="37DF3A13"/>
    <w:rsid w:val="37E82930"/>
    <w:rsid w:val="381902FC"/>
    <w:rsid w:val="381F218D"/>
    <w:rsid w:val="382B1BDF"/>
    <w:rsid w:val="382C5BD6"/>
    <w:rsid w:val="382E392C"/>
    <w:rsid w:val="383024D3"/>
    <w:rsid w:val="38342E90"/>
    <w:rsid w:val="38402F80"/>
    <w:rsid w:val="384A24FB"/>
    <w:rsid w:val="384B7332"/>
    <w:rsid w:val="385056AF"/>
    <w:rsid w:val="38706DCB"/>
    <w:rsid w:val="387C6C0B"/>
    <w:rsid w:val="388157C6"/>
    <w:rsid w:val="388E5848"/>
    <w:rsid w:val="389863EC"/>
    <w:rsid w:val="38A94D18"/>
    <w:rsid w:val="38BD31EE"/>
    <w:rsid w:val="38CB3BDF"/>
    <w:rsid w:val="38D33D29"/>
    <w:rsid w:val="38DC3EDC"/>
    <w:rsid w:val="38E173A8"/>
    <w:rsid w:val="38E36442"/>
    <w:rsid w:val="38E40A5B"/>
    <w:rsid w:val="39285D57"/>
    <w:rsid w:val="39372A0B"/>
    <w:rsid w:val="394B6470"/>
    <w:rsid w:val="3953321D"/>
    <w:rsid w:val="39860592"/>
    <w:rsid w:val="39872512"/>
    <w:rsid w:val="39931A05"/>
    <w:rsid w:val="39A2099B"/>
    <w:rsid w:val="39A602F9"/>
    <w:rsid w:val="39BD45C8"/>
    <w:rsid w:val="39C2316A"/>
    <w:rsid w:val="39D7513A"/>
    <w:rsid w:val="39DE0CD3"/>
    <w:rsid w:val="39EE33D5"/>
    <w:rsid w:val="39F36281"/>
    <w:rsid w:val="39F537D5"/>
    <w:rsid w:val="39F56CC2"/>
    <w:rsid w:val="39FD376D"/>
    <w:rsid w:val="39FD6C9C"/>
    <w:rsid w:val="39FF6B36"/>
    <w:rsid w:val="3A0224B9"/>
    <w:rsid w:val="3A071002"/>
    <w:rsid w:val="3A156E39"/>
    <w:rsid w:val="3A16794C"/>
    <w:rsid w:val="3A226969"/>
    <w:rsid w:val="3A3F47CE"/>
    <w:rsid w:val="3A4E1C5D"/>
    <w:rsid w:val="3A523735"/>
    <w:rsid w:val="3A557AE4"/>
    <w:rsid w:val="3A685AA2"/>
    <w:rsid w:val="3A6B0F84"/>
    <w:rsid w:val="3A727435"/>
    <w:rsid w:val="3A94055A"/>
    <w:rsid w:val="3AC17E3A"/>
    <w:rsid w:val="3AC71C01"/>
    <w:rsid w:val="3ACB5746"/>
    <w:rsid w:val="3ADD07D2"/>
    <w:rsid w:val="3ADD2B05"/>
    <w:rsid w:val="3AE417E3"/>
    <w:rsid w:val="3AE440AF"/>
    <w:rsid w:val="3AF7667E"/>
    <w:rsid w:val="3B032215"/>
    <w:rsid w:val="3B113F51"/>
    <w:rsid w:val="3B185809"/>
    <w:rsid w:val="3B2C21C1"/>
    <w:rsid w:val="3B307112"/>
    <w:rsid w:val="3B4D57EF"/>
    <w:rsid w:val="3B540533"/>
    <w:rsid w:val="3B5A2A22"/>
    <w:rsid w:val="3B663D38"/>
    <w:rsid w:val="3B70246F"/>
    <w:rsid w:val="3B7804A3"/>
    <w:rsid w:val="3B8E2153"/>
    <w:rsid w:val="3BA03B83"/>
    <w:rsid w:val="3BB20883"/>
    <w:rsid w:val="3BC34E75"/>
    <w:rsid w:val="3BCB270F"/>
    <w:rsid w:val="3BCF7E47"/>
    <w:rsid w:val="3BD76CB6"/>
    <w:rsid w:val="3BD96AA6"/>
    <w:rsid w:val="3BE940D8"/>
    <w:rsid w:val="3C0429BF"/>
    <w:rsid w:val="3C1A201A"/>
    <w:rsid w:val="3C371D4B"/>
    <w:rsid w:val="3C3B4B9D"/>
    <w:rsid w:val="3C413C82"/>
    <w:rsid w:val="3C4502E0"/>
    <w:rsid w:val="3C471C36"/>
    <w:rsid w:val="3C4B03D1"/>
    <w:rsid w:val="3C565085"/>
    <w:rsid w:val="3C5A6B66"/>
    <w:rsid w:val="3C5D215A"/>
    <w:rsid w:val="3C6712D5"/>
    <w:rsid w:val="3C734413"/>
    <w:rsid w:val="3C8E50A1"/>
    <w:rsid w:val="3C982C18"/>
    <w:rsid w:val="3CA734F8"/>
    <w:rsid w:val="3CB95EFC"/>
    <w:rsid w:val="3CC74223"/>
    <w:rsid w:val="3CC828D0"/>
    <w:rsid w:val="3CDB12FB"/>
    <w:rsid w:val="3CDB5F96"/>
    <w:rsid w:val="3CE23F49"/>
    <w:rsid w:val="3CEC39B8"/>
    <w:rsid w:val="3CF16761"/>
    <w:rsid w:val="3CF720E3"/>
    <w:rsid w:val="3CF72D6A"/>
    <w:rsid w:val="3CF86D06"/>
    <w:rsid w:val="3D00620E"/>
    <w:rsid w:val="3D035226"/>
    <w:rsid w:val="3D145DC3"/>
    <w:rsid w:val="3D316CDB"/>
    <w:rsid w:val="3D3679ED"/>
    <w:rsid w:val="3D3D6BBD"/>
    <w:rsid w:val="3D450F8C"/>
    <w:rsid w:val="3D477118"/>
    <w:rsid w:val="3D4C3A73"/>
    <w:rsid w:val="3D594E54"/>
    <w:rsid w:val="3D62706F"/>
    <w:rsid w:val="3D6E2272"/>
    <w:rsid w:val="3D6E5ED6"/>
    <w:rsid w:val="3D7C727A"/>
    <w:rsid w:val="3D81786B"/>
    <w:rsid w:val="3D830417"/>
    <w:rsid w:val="3D877AC5"/>
    <w:rsid w:val="3D882D35"/>
    <w:rsid w:val="3D8D2848"/>
    <w:rsid w:val="3D94235D"/>
    <w:rsid w:val="3D9461E1"/>
    <w:rsid w:val="3DAC1E4C"/>
    <w:rsid w:val="3DB34E86"/>
    <w:rsid w:val="3DD31030"/>
    <w:rsid w:val="3DE05321"/>
    <w:rsid w:val="3DEC775B"/>
    <w:rsid w:val="3DF379B0"/>
    <w:rsid w:val="3DF52358"/>
    <w:rsid w:val="3DF95812"/>
    <w:rsid w:val="3E05314D"/>
    <w:rsid w:val="3E142837"/>
    <w:rsid w:val="3E1D4077"/>
    <w:rsid w:val="3E1D4B24"/>
    <w:rsid w:val="3E2811AE"/>
    <w:rsid w:val="3E2E1A1A"/>
    <w:rsid w:val="3E3A04FA"/>
    <w:rsid w:val="3E3D6B96"/>
    <w:rsid w:val="3E441C7D"/>
    <w:rsid w:val="3E490256"/>
    <w:rsid w:val="3E55739E"/>
    <w:rsid w:val="3E6C43C8"/>
    <w:rsid w:val="3E7A6362"/>
    <w:rsid w:val="3E8227F0"/>
    <w:rsid w:val="3E954035"/>
    <w:rsid w:val="3E9B4B40"/>
    <w:rsid w:val="3EA5009E"/>
    <w:rsid w:val="3EB71AC8"/>
    <w:rsid w:val="3EC85E34"/>
    <w:rsid w:val="3ED0424C"/>
    <w:rsid w:val="3EE71542"/>
    <w:rsid w:val="3EF31E7F"/>
    <w:rsid w:val="3EF36DF0"/>
    <w:rsid w:val="3EFA08FC"/>
    <w:rsid w:val="3F01231B"/>
    <w:rsid w:val="3F053EF6"/>
    <w:rsid w:val="3F093188"/>
    <w:rsid w:val="3F173F6B"/>
    <w:rsid w:val="3F1E1DE8"/>
    <w:rsid w:val="3F2244AD"/>
    <w:rsid w:val="3F253B0C"/>
    <w:rsid w:val="3F2C04C4"/>
    <w:rsid w:val="3F3E7C9F"/>
    <w:rsid w:val="3F416B99"/>
    <w:rsid w:val="3F4F1E6B"/>
    <w:rsid w:val="3F4F5AD7"/>
    <w:rsid w:val="3F537FF3"/>
    <w:rsid w:val="3F5D0DD6"/>
    <w:rsid w:val="3F6B75A6"/>
    <w:rsid w:val="3F7B3FB4"/>
    <w:rsid w:val="3F840943"/>
    <w:rsid w:val="3F8735EE"/>
    <w:rsid w:val="3F8C0A49"/>
    <w:rsid w:val="3F913853"/>
    <w:rsid w:val="3F9660C3"/>
    <w:rsid w:val="3FA827ED"/>
    <w:rsid w:val="3FAE45A4"/>
    <w:rsid w:val="3FB45C58"/>
    <w:rsid w:val="3FBA5EFD"/>
    <w:rsid w:val="3FC36557"/>
    <w:rsid w:val="3FC956FF"/>
    <w:rsid w:val="3FCE3965"/>
    <w:rsid w:val="3FD13F50"/>
    <w:rsid w:val="3FD66463"/>
    <w:rsid w:val="3FDC5F31"/>
    <w:rsid w:val="3FDD07D5"/>
    <w:rsid w:val="3FE04625"/>
    <w:rsid w:val="3FE86CE8"/>
    <w:rsid w:val="3FF7456C"/>
    <w:rsid w:val="3FFB0F66"/>
    <w:rsid w:val="40007A90"/>
    <w:rsid w:val="40146E6B"/>
    <w:rsid w:val="401D46D5"/>
    <w:rsid w:val="403052F1"/>
    <w:rsid w:val="40345E51"/>
    <w:rsid w:val="404469FD"/>
    <w:rsid w:val="404A2717"/>
    <w:rsid w:val="404E779F"/>
    <w:rsid w:val="4053018C"/>
    <w:rsid w:val="4059090D"/>
    <w:rsid w:val="406277A4"/>
    <w:rsid w:val="4065170A"/>
    <w:rsid w:val="40672E2D"/>
    <w:rsid w:val="40687965"/>
    <w:rsid w:val="406E5CAB"/>
    <w:rsid w:val="40713C35"/>
    <w:rsid w:val="40745F23"/>
    <w:rsid w:val="40773B17"/>
    <w:rsid w:val="407965C6"/>
    <w:rsid w:val="408376F8"/>
    <w:rsid w:val="40A25054"/>
    <w:rsid w:val="40A325E0"/>
    <w:rsid w:val="40BD0DA1"/>
    <w:rsid w:val="40CC265C"/>
    <w:rsid w:val="40EC7D18"/>
    <w:rsid w:val="40ED11A0"/>
    <w:rsid w:val="40FD1BF0"/>
    <w:rsid w:val="41096BC0"/>
    <w:rsid w:val="410A75B6"/>
    <w:rsid w:val="410B452A"/>
    <w:rsid w:val="413353F1"/>
    <w:rsid w:val="41513BC9"/>
    <w:rsid w:val="41735B7F"/>
    <w:rsid w:val="41CA7DCA"/>
    <w:rsid w:val="41D574BC"/>
    <w:rsid w:val="41D75714"/>
    <w:rsid w:val="41D95EE3"/>
    <w:rsid w:val="41DD3BC3"/>
    <w:rsid w:val="41EE2F03"/>
    <w:rsid w:val="41F466FD"/>
    <w:rsid w:val="42002BC7"/>
    <w:rsid w:val="42026B03"/>
    <w:rsid w:val="420D197F"/>
    <w:rsid w:val="421316FC"/>
    <w:rsid w:val="42187EBE"/>
    <w:rsid w:val="421A7E5C"/>
    <w:rsid w:val="421C3DAC"/>
    <w:rsid w:val="4227435A"/>
    <w:rsid w:val="424B5824"/>
    <w:rsid w:val="42610528"/>
    <w:rsid w:val="42655B81"/>
    <w:rsid w:val="426973AD"/>
    <w:rsid w:val="427A67A1"/>
    <w:rsid w:val="427E0B36"/>
    <w:rsid w:val="42895E35"/>
    <w:rsid w:val="429C1193"/>
    <w:rsid w:val="42A03D98"/>
    <w:rsid w:val="42B2706C"/>
    <w:rsid w:val="42B94BC1"/>
    <w:rsid w:val="42C30254"/>
    <w:rsid w:val="42C42A08"/>
    <w:rsid w:val="42D064B1"/>
    <w:rsid w:val="42DB5C3F"/>
    <w:rsid w:val="42DE48A3"/>
    <w:rsid w:val="42E16058"/>
    <w:rsid w:val="42F01DCB"/>
    <w:rsid w:val="42F17BF5"/>
    <w:rsid w:val="42F871DE"/>
    <w:rsid w:val="42F87EC9"/>
    <w:rsid w:val="42FA45BF"/>
    <w:rsid w:val="430E7E66"/>
    <w:rsid w:val="431A43A9"/>
    <w:rsid w:val="432D4BEA"/>
    <w:rsid w:val="4332317A"/>
    <w:rsid w:val="433F6B54"/>
    <w:rsid w:val="4346543A"/>
    <w:rsid w:val="43482DD2"/>
    <w:rsid w:val="435B1259"/>
    <w:rsid w:val="436263D5"/>
    <w:rsid w:val="437556C4"/>
    <w:rsid w:val="437C3AD0"/>
    <w:rsid w:val="43874CD4"/>
    <w:rsid w:val="43AF2D32"/>
    <w:rsid w:val="43B66A7C"/>
    <w:rsid w:val="43B76E4F"/>
    <w:rsid w:val="43CF0206"/>
    <w:rsid w:val="43D235C5"/>
    <w:rsid w:val="43D669B3"/>
    <w:rsid w:val="43D85D6D"/>
    <w:rsid w:val="43EC6F1F"/>
    <w:rsid w:val="43FE44BA"/>
    <w:rsid w:val="440D5045"/>
    <w:rsid w:val="442D5CB5"/>
    <w:rsid w:val="44300615"/>
    <w:rsid w:val="44371929"/>
    <w:rsid w:val="443740AF"/>
    <w:rsid w:val="44480935"/>
    <w:rsid w:val="444851FA"/>
    <w:rsid w:val="44572BAD"/>
    <w:rsid w:val="445E4DEE"/>
    <w:rsid w:val="44640994"/>
    <w:rsid w:val="446456BB"/>
    <w:rsid w:val="446B0434"/>
    <w:rsid w:val="44706761"/>
    <w:rsid w:val="44756A66"/>
    <w:rsid w:val="447E4EBE"/>
    <w:rsid w:val="447F0CBA"/>
    <w:rsid w:val="448D7804"/>
    <w:rsid w:val="44957F46"/>
    <w:rsid w:val="44994CF5"/>
    <w:rsid w:val="449A491B"/>
    <w:rsid w:val="449F17BE"/>
    <w:rsid w:val="44A24696"/>
    <w:rsid w:val="44CD5F97"/>
    <w:rsid w:val="44DC46EB"/>
    <w:rsid w:val="44F03F8F"/>
    <w:rsid w:val="44F14ECF"/>
    <w:rsid w:val="45115669"/>
    <w:rsid w:val="45206108"/>
    <w:rsid w:val="45210EEA"/>
    <w:rsid w:val="452723E6"/>
    <w:rsid w:val="45275172"/>
    <w:rsid w:val="452754C3"/>
    <w:rsid w:val="45332511"/>
    <w:rsid w:val="45412C46"/>
    <w:rsid w:val="45514AD5"/>
    <w:rsid w:val="4552412E"/>
    <w:rsid w:val="455908C0"/>
    <w:rsid w:val="45644E09"/>
    <w:rsid w:val="4570391A"/>
    <w:rsid w:val="45761EDD"/>
    <w:rsid w:val="45780503"/>
    <w:rsid w:val="457A7286"/>
    <w:rsid w:val="457B06AA"/>
    <w:rsid w:val="457C7D39"/>
    <w:rsid w:val="458667C4"/>
    <w:rsid w:val="458F5163"/>
    <w:rsid w:val="459B35D2"/>
    <w:rsid w:val="459C5A47"/>
    <w:rsid w:val="45A66631"/>
    <w:rsid w:val="45A82F38"/>
    <w:rsid w:val="45AC0441"/>
    <w:rsid w:val="45B047D1"/>
    <w:rsid w:val="45B45068"/>
    <w:rsid w:val="45BE6191"/>
    <w:rsid w:val="45BE648C"/>
    <w:rsid w:val="45C37881"/>
    <w:rsid w:val="45CD2126"/>
    <w:rsid w:val="460C5979"/>
    <w:rsid w:val="46110AB3"/>
    <w:rsid w:val="46143B66"/>
    <w:rsid w:val="46214325"/>
    <w:rsid w:val="4626083B"/>
    <w:rsid w:val="463246EC"/>
    <w:rsid w:val="46396355"/>
    <w:rsid w:val="463A3547"/>
    <w:rsid w:val="46427647"/>
    <w:rsid w:val="464A386A"/>
    <w:rsid w:val="46555DC3"/>
    <w:rsid w:val="46617DB2"/>
    <w:rsid w:val="46621065"/>
    <w:rsid w:val="46665198"/>
    <w:rsid w:val="46697236"/>
    <w:rsid w:val="46770F8B"/>
    <w:rsid w:val="467745A2"/>
    <w:rsid w:val="467C16FA"/>
    <w:rsid w:val="46894B18"/>
    <w:rsid w:val="469448C6"/>
    <w:rsid w:val="469F39B5"/>
    <w:rsid w:val="46A232B5"/>
    <w:rsid w:val="46A50B23"/>
    <w:rsid w:val="46B80AF8"/>
    <w:rsid w:val="46D37F0B"/>
    <w:rsid w:val="46D71533"/>
    <w:rsid w:val="46E53335"/>
    <w:rsid w:val="47040E98"/>
    <w:rsid w:val="470A337F"/>
    <w:rsid w:val="47155D89"/>
    <w:rsid w:val="47253C54"/>
    <w:rsid w:val="473069AF"/>
    <w:rsid w:val="473672E7"/>
    <w:rsid w:val="473F2E3A"/>
    <w:rsid w:val="474A0EAF"/>
    <w:rsid w:val="474E50BE"/>
    <w:rsid w:val="47696F9C"/>
    <w:rsid w:val="47697A24"/>
    <w:rsid w:val="47725A17"/>
    <w:rsid w:val="477D3243"/>
    <w:rsid w:val="478821A1"/>
    <w:rsid w:val="478837D2"/>
    <w:rsid w:val="479128A9"/>
    <w:rsid w:val="47975EDC"/>
    <w:rsid w:val="47983B19"/>
    <w:rsid w:val="479E1EC1"/>
    <w:rsid w:val="479E5E8D"/>
    <w:rsid w:val="47A3609D"/>
    <w:rsid w:val="47B35372"/>
    <w:rsid w:val="47B806D7"/>
    <w:rsid w:val="47C01792"/>
    <w:rsid w:val="47C57A48"/>
    <w:rsid w:val="47D253E2"/>
    <w:rsid w:val="47D511BD"/>
    <w:rsid w:val="47E36C0B"/>
    <w:rsid w:val="47E4504F"/>
    <w:rsid w:val="480321E6"/>
    <w:rsid w:val="4808150F"/>
    <w:rsid w:val="480E6650"/>
    <w:rsid w:val="480F51A8"/>
    <w:rsid w:val="48256B1B"/>
    <w:rsid w:val="48282713"/>
    <w:rsid w:val="484417FA"/>
    <w:rsid w:val="48450ECE"/>
    <w:rsid w:val="484759CD"/>
    <w:rsid w:val="484B14EC"/>
    <w:rsid w:val="48565DBC"/>
    <w:rsid w:val="4865550B"/>
    <w:rsid w:val="48713351"/>
    <w:rsid w:val="48802846"/>
    <w:rsid w:val="48850157"/>
    <w:rsid w:val="48B116EA"/>
    <w:rsid w:val="48B74C7A"/>
    <w:rsid w:val="48BE32BF"/>
    <w:rsid w:val="48C354EC"/>
    <w:rsid w:val="48CB2583"/>
    <w:rsid w:val="48D429DD"/>
    <w:rsid w:val="48E01C77"/>
    <w:rsid w:val="48E22285"/>
    <w:rsid w:val="48E50D90"/>
    <w:rsid w:val="48F906C8"/>
    <w:rsid w:val="48FA15CC"/>
    <w:rsid w:val="491B63DF"/>
    <w:rsid w:val="491D63E9"/>
    <w:rsid w:val="492A068A"/>
    <w:rsid w:val="4932285C"/>
    <w:rsid w:val="493551FE"/>
    <w:rsid w:val="493C06FE"/>
    <w:rsid w:val="493E2F78"/>
    <w:rsid w:val="495043C3"/>
    <w:rsid w:val="495217DF"/>
    <w:rsid w:val="4958367A"/>
    <w:rsid w:val="49602C43"/>
    <w:rsid w:val="498A16CD"/>
    <w:rsid w:val="498B6AFE"/>
    <w:rsid w:val="499F6692"/>
    <w:rsid w:val="49A33C27"/>
    <w:rsid w:val="49A750B5"/>
    <w:rsid w:val="49BE07DA"/>
    <w:rsid w:val="49C2238E"/>
    <w:rsid w:val="49C84AA0"/>
    <w:rsid w:val="49D7694D"/>
    <w:rsid w:val="4A00599C"/>
    <w:rsid w:val="4A013507"/>
    <w:rsid w:val="4A0244D3"/>
    <w:rsid w:val="4A255046"/>
    <w:rsid w:val="4A28799C"/>
    <w:rsid w:val="4A2E1525"/>
    <w:rsid w:val="4A323C48"/>
    <w:rsid w:val="4A37475D"/>
    <w:rsid w:val="4A390B7A"/>
    <w:rsid w:val="4A3E43AB"/>
    <w:rsid w:val="4A4F73F7"/>
    <w:rsid w:val="4A5A2744"/>
    <w:rsid w:val="4A5A756D"/>
    <w:rsid w:val="4A785772"/>
    <w:rsid w:val="4A7B5051"/>
    <w:rsid w:val="4A89105B"/>
    <w:rsid w:val="4AA341CC"/>
    <w:rsid w:val="4AA51DAF"/>
    <w:rsid w:val="4AB605D1"/>
    <w:rsid w:val="4AB67E5C"/>
    <w:rsid w:val="4ABE6FB0"/>
    <w:rsid w:val="4AC13295"/>
    <w:rsid w:val="4AC31003"/>
    <w:rsid w:val="4AC40F4C"/>
    <w:rsid w:val="4ACC41EB"/>
    <w:rsid w:val="4AD25F33"/>
    <w:rsid w:val="4AD52882"/>
    <w:rsid w:val="4AE072CB"/>
    <w:rsid w:val="4AE1073A"/>
    <w:rsid w:val="4AE93159"/>
    <w:rsid w:val="4AF02EA1"/>
    <w:rsid w:val="4AF86281"/>
    <w:rsid w:val="4B043BBE"/>
    <w:rsid w:val="4B072155"/>
    <w:rsid w:val="4B10647C"/>
    <w:rsid w:val="4B174032"/>
    <w:rsid w:val="4B24012B"/>
    <w:rsid w:val="4B250CF8"/>
    <w:rsid w:val="4B277E4E"/>
    <w:rsid w:val="4B7C4100"/>
    <w:rsid w:val="4B80136B"/>
    <w:rsid w:val="4B830F9B"/>
    <w:rsid w:val="4B9B0C47"/>
    <w:rsid w:val="4B9D4011"/>
    <w:rsid w:val="4BB36BDD"/>
    <w:rsid w:val="4BBC374F"/>
    <w:rsid w:val="4BC24B5E"/>
    <w:rsid w:val="4BC32290"/>
    <w:rsid w:val="4BD0339A"/>
    <w:rsid w:val="4BF32495"/>
    <w:rsid w:val="4BFA3FA2"/>
    <w:rsid w:val="4C046437"/>
    <w:rsid w:val="4C2B4DDD"/>
    <w:rsid w:val="4C562920"/>
    <w:rsid w:val="4C5D1F92"/>
    <w:rsid w:val="4C603F16"/>
    <w:rsid w:val="4C6262E0"/>
    <w:rsid w:val="4C632900"/>
    <w:rsid w:val="4C6703A3"/>
    <w:rsid w:val="4C6D7518"/>
    <w:rsid w:val="4C923A72"/>
    <w:rsid w:val="4CB96B0F"/>
    <w:rsid w:val="4CC74140"/>
    <w:rsid w:val="4CD20398"/>
    <w:rsid w:val="4CD315DD"/>
    <w:rsid w:val="4CDE1A81"/>
    <w:rsid w:val="4CE34E9F"/>
    <w:rsid w:val="4CE56ED7"/>
    <w:rsid w:val="4CF52D94"/>
    <w:rsid w:val="4CFE43DF"/>
    <w:rsid w:val="4D040BDB"/>
    <w:rsid w:val="4D131782"/>
    <w:rsid w:val="4D257DB4"/>
    <w:rsid w:val="4D2B086E"/>
    <w:rsid w:val="4D3520AA"/>
    <w:rsid w:val="4D462159"/>
    <w:rsid w:val="4D465FB7"/>
    <w:rsid w:val="4D566017"/>
    <w:rsid w:val="4D613CEC"/>
    <w:rsid w:val="4D6F2615"/>
    <w:rsid w:val="4D7D3EFB"/>
    <w:rsid w:val="4D8B0123"/>
    <w:rsid w:val="4DAF14C5"/>
    <w:rsid w:val="4DB9067A"/>
    <w:rsid w:val="4DBA4F8F"/>
    <w:rsid w:val="4DC605B6"/>
    <w:rsid w:val="4DCA0533"/>
    <w:rsid w:val="4DD252B5"/>
    <w:rsid w:val="4DD732D2"/>
    <w:rsid w:val="4DD84CB9"/>
    <w:rsid w:val="4DDD4847"/>
    <w:rsid w:val="4DE6535D"/>
    <w:rsid w:val="4DEC0985"/>
    <w:rsid w:val="4E0538A3"/>
    <w:rsid w:val="4E0E6818"/>
    <w:rsid w:val="4E27683A"/>
    <w:rsid w:val="4E354DF5"/>
    <w:rsid w:val="4E4C50A3"/>
    <w:rsid w:val="4E510698"/>
    <w:rsid w:val="4E576363"/>
    <w:rsid w:val="4E635567"/>
    <w:rsid w:val="4E63744A"/>
    <w:rsid w:val="4E642C68"/>
    <w:rsid w:val="4E742982"/>
    <w:rsid w:val="4E9C0636"/>
    <w:rsid w:val="4EA30DB6"/>
    <w:rsid w:val="4EA7341F"/>
    <w:rsid w:val="4EA74FA1"/>
    <w:rsid w:val="4ECF5E5B"/>
    <w:rsid w:val="4ED513E2"/>
    <w:rsid w:val="4EDB58B2"/>
    <w:rsid w:val="4EE925CE"/>
    <w:rsid w:val="4EEF2E30"/>
    <w:rsid w:val="4EF24828"/>
    <w:rsid w:val="4EFE7F59"/>
    <w:rsid w:val="4F016DF9"/>
    <w:rsid w:val="4F1869D4"/>
    <w:rsid w:val="4F285975"/>
    <w:rsid w:val="4F2A7BF3"/>
    <w:rsid w:val="4F2E2624"/>
    <w:rsid w:val="4F4E1077"/>
    <w:rsid w:val="4F52614B"/>
    <w:rsid w:val="4F546156"/>
    <w:rsid w:val="4F671A09"/>
    <w:rsid w:val="4F844A99"/>
    <w:rsid w:val="4F94662C"/>
    <w:rsid w:val="4FAB2D34"/>
    <w:rsid w:val="4FB00163"/>
    <w:rsid w:val="4FB208E7"/>
    <w:rsid w:val="4FC11F63"/>
    <w:rsid w:val="4FD11690"/>
    <w:rsid w:val="4FE30332"/>
    <w:rsid w:val="4FE70BB4"/>
    <w:rsid w:val="4FE73C01"/>
    <w:rsid w:val="4FE87C31"/>
    <w:rsid w:val="500452D1"/>
    <w:rsid w:val="50051807"/>
    <w:rsid w:val="500815B6"/>
    <w:rsid w:val="500B39BC"/>
    <w:rsid w:val="5022123F"/>
    <w:rsid w:val="502B7315"/>
    <w:rsid w:val="503F32CF"/>
    <w:rsid w:val="5041152A"/>
    <w:rsid w:val="50421ACF"/>
    <w:rsid w:val="5042655E"/>
    <w:rsid w:val="505C5D66"/>
    <w:rsid w:val="507E1B25"/>
    <w:rsid w:val="508264CE"/>
    <w:rsid w:val="50857E4D"/>
    <w:rsid w:val="508E3B94"/>
    <w:rsid w:val="508E4492"/>
    <w:rsid w:val="5090223F"/>
    <w:rsid w:val="50924591"/>
    <w:rsid w:val="509B6236"/>
    <w:rsid w:val="50AB5EB6"/>
    <w:rsid w:val="50B16618"/>
    <w:rsid w:val="50BB6306"/>
    <w:rsid w:val="50DD4592"/>
    <w:rsid w:val="50DF6379"/>
    <w:rsid w:val="50F8688B"/>
    <w:rsid w:val="50FC4E36"/>
    <w:rsid w:val="5105169B"/>
    <w:rsid w:val="51062881"/>
    <w:rsid w:val="510861B3"/>
    <w:rsid w:val="510956BD"/>
    <w:rsid w:val="51230220"/>
    <w:rsid w:val="512C57DC"/>
    <w:rsid w:val="51471753"/>
    <w:rsid w:val="514E4912"/>
    <w:rsid w:val="515400FF"/>
    <w:rsid w:val="515D735D"/>
    <w:rsid w:val="516974E9"/>
    <w:rsid w:val="51781A83"/>
    <w:rsid w:val="51867298"/>
    <w:rsid w:val="51894D69"/>
    <w:rsid w:val="518D21E1"/>
    <w:rsid w:val="51930297"/>
    <w:rsid w:val="51953936"/>
    <w:rsid w:val="519E116A"/>
    <w:rsid w:val="51A2793A"/>
    <w:rsid w:val="51A57070"/>
    <w:rsid w:val="51A67E0E"/>
    <w:rsid w:val="51BA0CB7"/>
    <w:rsid w:val="51C93676"/>
    <w:rsid w:val="51C95C2C"/>
    <w:rsid w:val="51CB1F8D"/>
    <w:rsid w:val="51D129CA"/>
    <w:rsid w:val="51D87F7E"/>
    <w:rsid w:val="51D93F8A"/>
    <w:rsid w:val="51E5046A"/>
    <w:rsid w:val="51F62C0E"/>
    <w:rsid w:val="52095400"/>
    <w:rsid w:val="520E5E03"/>
    <w:rsid w:val="52272B85"/>
    <w:rsid w:val="523E09B5"/>
    <w:rsid w:val="5249247A"/>
    <w:rsid w:val="525466FB"/>
    <w:rsid w:val="525770DA"/>
    <w:rsid w:val="525777C6"/>
    <w:rsid w:val="525E17DE"/>
    <w:rsid w:val="52687B2A"/>
    <w:rsid w:val="526E0E82"/>
    <w:rsid w:val="52720C99"/>
    <w:rsid w:val="527901C6"/>
    <w:rsid w:val="527C7B91"/>
    <w:rsid w:val="5280722C"/>
    <w:rsid w:val="52A24532"/>
    <w:rsid w:val="52B3363A"/>
    <w:rsid w:val="52B825FC"/>
    <w:rsid w:val="52B94C95"/>
    <w:rsid w:val="52C4763C"/>
    <w:rsid w:val="52DE691D"/>
    <w:rsid w:val="52E04D27"/>
    <w:rsid w:val="52E75660"/>
    <w:rsid w:val="52ED0C96"/>
    <w:rsid w:val="52FB45EB"/>
    <w:rsid w:val="53047E42"/>
    <w:rsid w:val="53061721"/>
    <w:rsid w:val="530C0E6B"/>
    <w:rsid w:val="532F77EA"/>
    <w:rsid w:val="5333550F"/>
    <w:rsid w:val="53364F5D"/>
    <w:rsid w:val="533933AA"/>
    <w:rsid w:val="533B7F54"/>
    <w:rsid w:val="535009E1"/>
    <w:rsid w:val="5352474D"/>
    <w:rsid w:val="53542621"/>
    <w:rsid w:val="53650168"/>
    <w:rsid w:val="536C2A29"/>
    <w:rsid w:val="53766D1C"/>
    <w:rsid w:val="53836AFA"/>
    <w:rsid w:val="538859E4"/>
    <w:rsid w:val="53A20FFA"/>
    <w:rsid w:val="53A233E4"/>
    <w:rsid w:val="53A94C48"/>
    <w:rsid w:val="53AA7BC7"/>
    <w:rsid w:val="53AE5EA5"/>
    <w:rsid w:val="53B00B1F"/>
    <w:rsid w:val="53B2409D"/>
    <w:rsid w:val="53BD6FA3"/>
    <w:rsid w:val="53D6247A"/>
    <w:rsid w:val="53DB3477"/>
    <w:rsid w:val="53E77CBF"/>
    <w:rsid w:val="53F646CA"/>
    <w:rsid w:val="53FE7128"/>
    <w:rsid w:val="54247F22"/>
    <w:rsid w:val="542C29CD"/>
    <w:rsid w:val="542F1551"/>
    <w:rsid w:val="54381756"/>
    <w:rsid w:val="54596DB5"/>
    <w:rsid w:val="545A1EBF"/>
    <w:rsid w:val="54717CCC"/>
    <w:rsid w:val="54727478"/>
    <w:rsid w:val="54B06F11"/>
    <w:rsid w:val="54B56DF4"/>
    <w:rsid w:val="54B93943"/>
    <w:rsid w:val="54BB2BC9"/>
    <w:rsid w:val="54BE5578"/>
    <w:rsid w:val="54BF52B5"/>
    <w:rsid w:val="54C7176A"/>
    <w:rsid w:val="54D202CA"/>
    <w:rsid w:val="54D54E59"/>
    <w:rsid w:val="54DD41DB"/>
    <w:rsid w:val="54DD7AC9"/>
    <w:rsid w:val="54E43C38"/>
    <w:rsid w:val="54ED3D78"/>
    <w:rsid w:val="54F02D69"/>
    <w:rsid w:val="54F13456"/>
    <w:rsid w:val="54F52BA3"/>
    <w:rsid w:val="54F54E04"/>
    <w:rsid w:val="54F93B5E"/>
    <w:rsid w:val="550B4121"/>
    <w:rsid w:val="550D5CFC"/>
    <w:rsid w:val="55197997"/>
    <w:rsid w:val="551B356A"/>
    <w:rsid w:val="551E7C84"/>
    <w:rsid w:val="552A6B56"/>
    <w:rsid w:val="5532385A"/>
    <w:rsid w:val="554748F2"/>
    <w:rsid w:val="554D414C"/>
    <w:rsid w:val="554E7279"/>
    <w:rsid w:val="55594FFB"/>
    <w:rsid w:val="555D2DFD"/>
    <w:rsid w:val="55637CEB"/>
    <w:rsid w:val="55716C7A"/>
    <w:rsid w:val="55757FB9"/>
    <w:rsid w:val="55884237"/>
    <w:rsid w:val="558C7FAA"/>
    <w:rsid w:val="559C353C"/>
    <w:rsid w:val="55A25EB7"/>
    <w:rsid w:val="55A82784"/>
    <w:rsid w:val="55A97512"/>
    <w:rsid w:val="55B63FD5"/>
    <w:rsid w:val="55BF69D2"/>
    <w:rsid w:val="55C35A76"/>
    <w:rsid w:val="55D40743"/>
    <w:rsid w:val="55DD6F2A"/>
    <w:rsid w:val="55E46ECB"/>
    <w:rsid w:val="55E8339E"/>
    <w:rsid w:val="55E92876"/>
    <w:rsid w:val="55F06771"/>
    <w:rsid w:val="55F1761D"/>
    <w:rsid w:val="55FA49AD"/>
    <w:rsid w:val="56013311"/>
    <w:rsid w:val="56106284"/>
    <w:rsid w:val="562339AD"/>
    <w:rsid w:val="5632642A"/>
    <w:rsid w:val="56375B61"/>
    <w:rsid w:val="56462238"/>
    <w:rsid w:val="564944F4"/>
    <w:rsid w:val="564C7B44"/>
    <w:rsid w:val="564E5820"/>
    <w:rsid w:val="5651167C"/>
    <w:rsid w:val="56630C00"/>
    <w:rsid w:val="567739D2"/>
    <w:rsid w:val="5686536D"/>
    <w:rsid w:val="56865971"/>
    <w:rsid w:val="568B1DB1"/>
    <w:rsid w:val="56A55214"/>
    <w:rsid w:val="56A67978"/>
    <w:rsid w:val="56AC63C5"/>
    <w:rsid w:val="56B61F71"/>
    <w:rsid w:val="56BD6B54"/>
    <w:rsid w:val="56C1700B"/>
    <w:rsid w:val="56D20841"/>
    <w:rsid w:val="56D25618"/>
    <w:rsid w:val="56E84A97"/>
    <w:rsid w:val="56F648D3"/>
    <w:rsid w:val="57002F90"/>
    <w:rsid w:val="57011F3E"/>
    <w:rsid w:val="5705646B"/>
    <w:rsid w:val="57060649"/>
    <w:rsid w:val="5732705F"/>
    <w:rsid w:val="5734308D"/>
    <w:rsid w:val="57351D6F"/>
    <w:rsid w:val="5750195B"/>
    <w:rsid w:val="576476C1"/>
    <w:rsid w:val="57652A96"/>
    <w:rsid w:val="57662DB4"/>
    <w:rsid w:val="577B3337"/>
    <w:rsid w:val="578A30A4"/>
    <w:rsid w:val="579E7733"/>
    <w:rsid w:val="57A33734"/>
    <w:rsid w:val="57AB6ADD"/>
    <w:rsid w:val="57BD72A7"/>
    <w:rsid w:val="57BE5838"/>
    <w:rsid w:val="57C85610"/>
    <w:rsid w:val="57FC07D9"/>
    <w:rsid w:val="57FF6992"/>
    <w:rsid w:val="580F1B21"/>
    <w:rsid w:val="581B7E79"/>
    <w:rsid w:val="582A1A99"/>
    <w:rsid w:val="58403228"/>
    <w:rsid w:val="584D5888"/>
    <w:rsid w:val="58500F22"/>
    <w:rsid w:val="58587379"/>
    <w:rsid w:val="58595802"/>
    <w:rsid w:val="585D5BB3"/>
    <w:rsid w:val="586D57A3"/>
    <w:rsid w:val="587917A0"/>
    <w:rsid w:val="587A4288"/>
    <w:rsid w:val="5880052B"/>
    <w:rsid w:val="589E5C53"/>
    <w:rsid w:val="58A4570E"/>
    <w:rsid w:val="58AC41AA"/>
    <w:rsid w:val="58AD27D9"/>
    <w:rsid w:val="58B169A2"/>
    <w:rsid w:val="58B9636C"/>
    <w:rsid w:val="58BD0101"/>
    <w:rsid w:val="58C37133"/>
    <w:rsid w:val="58C64786"/>
    <w:rsid w:val="58C93046"/>
    <w:rsid w:val="58CB483C"/>
    <w:rsid w:val="58CC44BC"/>
    <w:rsid w:val="58D36BCB"/>
    <w:rsid w:val="58D52BCD"/>
    <w:rsid w:val="58D66E1C"/>
    <w:rsid w:val="58E6349C"/>
    <w:rsid w:val="58EF63EE"/>
    <w:rsid w:val="58F942C3"/>
    <w:rsid w:val="590317F0"/>
    <w:rsid w:val="5907442B"/>
    <w:rsid w:val="59075000"/>
    <w:rsid w:val="59200EBC"/>
    <w:rsid w:val="593559FD"/>
    <w:rsid w:val="593C34D9"/>
    <w:rsid w:val="594079B2"/>
    <w:rsid w:val="594A13D7"/>
    <w:rsid w:val="5965504F"/>
    <w:rsid w:val="596B0B42"/>
    <w:rsid w:val="5987482A"/>
    <w:rsid w:val="59904485"/>
    <w:rsid w:val="599C49A8"/>
    <w:rsid w:val="59A36725"/>
    <w:rsid w:val="59B21BF9"/>
    <w:rsid w:val="59B94FAB"/>
    <w:rsid w:val="59BB4EA3"/>
    <w:rsid w:val="59DE698A"/>
    <w:rsid w:val="59E9525B"/>
    <w:rsid w:val="59ED369A"/>
    <w:rsid w:val="5A011A3B"/>
    <w:rsid w:val="5A3C0F08"/>
    <w:rsid w:val="5A3E5B83"/>
    <w:rsid w:val="5A4A0FD5"/>
    <w:rsid w:val="5A5663A3"/>
    <w:rsid w:val="5A571746"/>
    <w:rsid w:val="5A5907CA"/>
    <w:rsid w:val="5A6253E3"/>
    <w:rsid w:val="5A8E6670"/>
    <w:rsid w:val="5A912613"/>
    <w:rsid w:val="5A9245E9"/>
    <w:rsid w:val="5A953D41"/>
    <w:rsid w:val="5AB011D9"/>
    <w:rsid w:val="5AB6510A"/>
    <w:rsid w:val="5ABC50F4"/>
    <w:rsid w:val="5ACC4940"/>
    <w:rsid w:val="5AD50599"/>
    <w:rsid w:val="5AD6080A"/>
    <w:rsid w:val="5AD71465"/>
    <w:rsid w:val="5AD86A6D"/>
    <w:rsid w:val="5AEC14F6"/>
    <w:rsid w:val="5AF124A4"/>
    <w:rsid w:val="5AFB02E8"/>
    <w:rsid w:val="5AFB61DC"/>
    <w:rsid w:val="5B120BF4"/>
    <w:rsid w:val="5B141085"/>
    <w:rsid w:val="5B273A27"/>
    <w:rsid w:val="5B28192B"/>
    <w:rsid w:val="5B282D41"/>
    <w:rsid w:val="5B2E7D32"/>
    <w:rsid w:val="5B373A6F"/>
    <w:rsid w:val="5B402461"/>
    <w:rsid w:val="5B600DA9"/>
    <w:rsid w:val="5B631C92"/>
    <w:rsid w:val="5B66707B"/>
    <w:rsid w:val="5B673066"/>
    <w:rsid w:val="5B785E83"/>
    <w:rsid w:val="5B7C1CD1"/>
    <w:rsid w:val="5B9251EF"/>
    <w:rsid w:val="5B9C7CD2"/>
    <w:rsid w:val="5BAB5BC4"/>
    <w:rsid w:val="5BB20B74"/>
    <w:rsid w:val="5BC677D8"/>
    <w:rsid w:val="5BD42177"/>
    <w:rsid w:val="5BE75664"/>
    <w:rsid w:val="5BEB0120"/>
    <w:rsid w:val="5C057E77"/>
    <w:rsid w:val="5C097C4E"/>
    <w:rsid w:val="5C0B763C"/>
    <w:rsid w:val="5C104619"/>
    <w:rsid w:val="5C1A3A93"/>
    <w:rsid w:val="5C1E1E5E"/>
    <w:rsid w:val="5C235386"/>
    <w:rsid w:val="5C3B6CFC"/>
    <w:rsid w:val="5C4C2CF4"/>
    <w:rsid w:val="5C5400D3"/>
    <w:rsid w:val="5C6B1600"/>
    <w:rsid w:val="5C7D70D1"/>
    <w:rsid w:val="5C8542A8"/>
    <w:rsid w:val="5C8749DF"/>
    <w:rsid w:val="5C9664F6"/>
    <w:rsid w:val="5C9B4A8D"/>
    <w:rsid w:val="5CA1479B"/>
    <w:rsid w:val="5CA3187E"/>
    <w:rsid w:val="5CA6294E"/>
    <w:rsid w:val="5CB514F3"/>
    <w:rsid w:val="5CB60B44"/>
    <w:rsid w:val="5CC340BC"/>
    <w:rsid w:val="5CC85FC5"/>
    <w:rsid w:val="5CDB3358"/>
    <w:rsid w:val="5CED4E0C"/>
    <w:rsid w:val="5D034EE9"/>
    <w:rsid w:val="5D0366E8"/>
    <w:rsid w:val="5D044FED"/>
    <w:rsid w:val="5D0A06B6"/>
    <w:rsid w:val="5D1307E8"/>
    <w:rsid w:val="5D212A05"/>
    <w:rsid w:val="5D2B269B"/>
    <w:rsid w:val="5D2F4802"/>
    <w:rsid w:val="5D3444E6"/>
    <w:rsid w:val="5D3F0BDF"/>
    <w:rsid w:val="5D48142C"/>
    <w:rsid w:val="5D5B7098"/>
    <w:rsid w:val="5D634782"/>
    <w:rsid w:val="5D693F0E"/>
    <w:rsid w:val="5D6E1B86"/>
    <w:rsid w:val="5D7B386B"/>
    <w:rsid w:val="5D7C7286"/>
    <w:rsid w:val="5D8A2CFF"/>
    <w:rsid w:val="5D960EE9"/>
    <w:rsid w:val="5D9A0CFA"/>
    <w:rsid w:val="5DB052AA"/>
    <w:rsid w:val="5DC4465B"/>
    <w:rsid w:val="5DD14397"/>
    <w:rsid w:val="5DD3123F"/>
    <w:rsid w:val="5DD71C7A"/>
    <w:rsid w:val="5DD734EC"/>
    <w:rsid w:val="5DEB095A"/>
    <w:rsid w:val="5DEC05A1"/>
    <w:rsid w:val="5DFD51DB"/>
    <w:rsid w:val="5DFE5B43"/>
    <w:rsid w:val="5E040CAD"/>
    <w:rsid w:val="5E0B0848"/>
    <w:rsid w:val="5E1D4A67"/>
    <w:rsid w:val="5E213714"/>
    <w:rsid w:val="5E237029"/>
    <w:rsid w:val="5E2D4789"/>
    <w:rsid w:val="5E3A3BD1"/>
    <w:rsid w:val="5E4C19C5"/>
    <w:rsid w:val="5E5203B8"/>
    <w:rsid w:val="5E6A5399"/>
    <w:rsid w:val="5E71373F"/>
    <w:rsid w:val="5E717191"/>
    <w:rsid w:val="5E736456"/>
    <w:rsid w:val="5E830708"/>
    <w:rsid w:val="5E831398"/>
    <w:rsid w:val="5E85633A"/>
    <w:rsid w:val="5E921A45"/>
    <w:rsid w:val="5E975993"/>
    <w:rsid w:val="5EAC1043"/>
    <w:rsid w:val="5EB51FDE"/>
    <w:rsid w:val="5EBA4472"/>
    <w:rsid w:val="5EC501AE"/>
    <w:rsid w:val="5ECA3D37"/>
    <w:rsid w:val="5ECD3218"/>
    <w:rsid w:val="5EE153F8"/>
    <w:rsid w:val="5EED7893"/>
    <w:rsid w:val="5F0842F6"/>
    <w:rsid w:val="5F0A3A61"/>
    <w:rsid w:val="5F134343"/>
    <w:rsid w:val="5F2B57AF"/>
    <w:rsid w:val="5F5F5C90"/>
    <w:rsid w:val="5F683B6E"/>
    <w:rsid w:val="5F742691"/>
    <w:rsid w:val="5F867BE8"/>
    <w:rsid w:val="5F875C0C"/>
    <w:rsid w:val="5F8F0B9E"/>
    <w:rsid w:val="5F8F267A"/>
    <w:rsid w:val="5F9E5F96"/>
    <w:rsid w:val="5FB94C48"/>
    <w:rsid w:val="5FCE4FD3"/>
    <w:rsid w:val="5FF37587"/>
    <w:rsid w:val="5FFB25B2"/>
    <w:rsid w:val="5FFE57B7"/>
    <w:rsid w:val="60060CD5"/>
    <w:rsid w:val="600762FF"/>
    <w:rsid w:val="60085AA3"/>
    <w:rsid w:val="600C34C4"/>
    <w:rsid w:val="600E362B"/>
    <w:rsid w:val="60183392"/>
    <w:rsid w:val="601A4CB1"/>
    <w:rsid w:val="602C236D"/>
    <w:rsid w:val="603967D7"/>
    <w:rsid w:val="603D3325"/>
    <w:rsid w:val="60470CE3"/>
    <w:rsid w:val="604A6A1F"/>
    <w:rsid w:val="604E6809"/>
    <w:rsid w:val="60597AB8"/>
    <w:rsid w:val="605C3003"/>
    <w:rsid w:val="60673C40"/>
    <w:rsid w:val="606A52D4"/>
    <w:rsid w:val="607C3753"/>
    <w:rsid w:val="608D1D4E"/>
    <w:rsid w:val="6092569C"/>
    <w:rsid w:val="60AD0357"/>
    <w:rsid w:val="60B004BE"/>
    <w:rsid w:val="60BA604C"/>
    <w:rsid w:val="60C30855"/>
    <w:rsid w:val="60C338B1"/>
    <w:rsid w:val="60D4742F"/>
    <w:rsid w:val="60D95276"/>
    <w:rsid w:val="60E06DEB"/>
    <w:rsid w:val="60E16438"/>
    <w:rsid w:val="60E51841"/>
    <w:rsid w:val="61110088"/>
    <w:rsid w:val="611543D6"/>
    <w:rsid w:val="6122664B"/>
    <w:rsid w:val="613009FA"/>
    <w:rsid w:val="61421EFD"/>
    <w:rsid w:val="61450F8F"/>
    <w:rsid w:val="615C5041"/>
    <w:rsid w:val="6182260C"/>
    <w:rsid w:val="618C1883"/>
    <w:rsid w:val="619117A1"/>
    <w:rsid w:val="61972EF8"/>
    <w:rsid w:val="619F6539"/>
    <w:rsid w:val="61D04549"/>
    <w:rsid w:val="61D43A2B"/>
    <w:rsid w:val="61D61317"/>
    <w:rsid w:val="61F112FF"/>
    <w:rsid w:val="61FF316E"/>
    <w:rsid w:val="620F4BAD"/>
    <w:rsid w:val="621542CB"/>
    <w:rsid w:val="622D59F2"/>
    <w:rsid w:val="623E733C"/>
    <w:rsid w:val="624263A2"/>
    <w:rsid w:val="625272C3"/>
    <w:rsid w:val="625D5DC9"/>
    <w:rsid w:val="62715337"/>
    <w:rsid w:val="6280204D"/>
    <w:rsid w:val="62820D2A"/>
    <w:rsid w:val="6290769B"/>
    <w:rsid w:val="62943D08"/>
    <w:rsid w:val="62A411F8"/>
    <w:rsid w:val="62B35BE9"/>
    <w:rsid w:val="62BA7A46"/>
    <w:rsid w:val="62C376AC"/>
    <w:rsid w:val="62CE13CB"/>
    <w:rsid w:val="62D2197B"/>
    <w:rsid w:val="62D92B37"/>
    <w:rsid w:val="62E97D27"/>
    <w:rsid w:val="62F6011A"/>
    <w:rsid w:val="632624E0"/>
    <w:rsid w:val="6327422B"/>
    <w:rsid w:val="632D369F"/>
    <w:rsid w:val="6333152F"/>
    <w:rsid w:val="633B249F"/>
    <w:rsid w:val="634B124D"/>
    <w:rsid w:val="634D7789"/>
    <w:rsid w:val="63552D76"/>
    <w:rsid w:val="6359778B"/>
    <w:rsid w:val="635B63E3"/>
    <w:rsid w:val="63776102"/>
    <w:rsid w:val="637767A2"/>
    <w:rsid w:val="638C3395"/>
    <w:rsid w:val="639623D1"/>
    <w:rsid w:val="639E76D8"/>
    <w:rsid w:val="63A90249"/>
    <w:rsid w:val="63B159B9"/>
    <w:rsid w:val="63BA3154"/>
    <w:rsid w:val="63BD710D"/>
    <w:rsid w:val="63CA2E8B"/>
    <w:rsid w:val="63E022EB"/>
    <w:rsid w:val="63E333C1"/>
    <w:rsid w:val="63F47D2A"/>
    <w:rsid w:val="63FE2D33"/>
    <w:rsid w:val="64113810"/>
    <w:rsid w:val="64264A79"/>
    <w:rsid w:val="64304E58"/>
    <w:rsid w:val="64311867"/>
    <w:rsid w:val="64391ED3"/>
    <w:rsid w:val="6445632E"/>
    <w:rsid w:val="64585750"/>
    <w:rsid w:val="645E7889"/>
    <w:rsid w:val="64623C90"/>
    <w:rsid w:val="648939AA"/>
    <w:rsid w:val="649B1AC2"/>
    <w:rsid w:val="64A7467B"/>
    <w:rsid w:val="64C86505"/>
    <w:rsid w:val="64F376E2"/>
    <w:rsid w:val="64FE700F"/>
    <w:rsid w:val="6500327F"/>
    <w:rsid w:val="6506609B"/>
    <w:rsid w:val="65083216"/>
    <w:rsid w:val="653C3417"/>
    <w:rsid w:val="65460728"/>
    <w:rsid w:val="656868EF"/>
    <w:rsid w:val="657A608F"/>
    <w:rsid w:val="657D778E"/>
    <w:rsid w:val="65822810"/>
    <w:rsid w:val="65870C45"/>
    <w:rsid w:val="65A656FE"/>
    <w:rsid w:val="65AA6346"/>
    <w:rsid w:val="65B56C47"/>
    <w:rsid w:val="65B8262E"/>
    <w:rsid w:val="65BC15EE"/>
    <w:rsid w:val="65BD59F8"/>
    <w:rsid w:val="65C74F5E"/>
    <w:rsid w:val="65D23D59"/>
    <w:rsid w:val="65D4773F"/>
    <w:rsid w:val="65DC5939"/>
    <w:rsid w:val="65DC7985"/>
    <w:rsid w:val="65F14641"/>
    <w:rsid w:val="65F17C39"/>
    <w:rsid w:val="65F5655C"/>
    <w:rsid w:val="65FF006B"/>
    <w:rsid w:val="66052F43"/>
    <w:rsid w:val="6609487E"/>
    <w:rsid w:val="66174A0D"/>
    <w:rsid w:val="661D25CE"/>
    <w:rsid w:val="66206CF2"/>
    <w:rsid w:val="66265846"/>
    <w:rsid w:val="66287C9C"/>
    <w:rsid w:val="663F30F5"/>
    <w:rsid w:val="6646231E"/>
    <w:rsid w:val="664805B8"/>
    <w:rsid w:val="66592643"/>
    <w:rsid w:val="665B55EA"/>
    <w:rsid w:val="66655F85"/>
    <w:rsid w:val="66716512"/>
    <w:rsid w:val="667C7AEC"/>
    <w:rsid w:val="66984358"/>
    <w:rsid w:val="669B7C76"/>
    <w:rsid w:val="669D0EEA"/>
    <w:rsid w:val="66A200F8"/>
    <w:rsid w:val="66A30EC2"/>
    <w:rsid w:val="66AA4BA8"/>
    <w:rsid w:val="66AE5459"/>
    <w:rsid w:val="66C955BD"/>
    <w:rsid w:val="66DC317D"/>
    <w:rsid w:val="66EB4314"/>
    <w:rsid w:val="66F15393"/>
    <w:rsid w:val="670C6D27"/>
    <w:rsid w:val="670D67CE"/>
    <w:rsid w:val="67105BAB"/>
    <w:rsid w:val="671272FA"/>
    <w:rsid w:val="671B1631"/>
    <w:rsid w:val="672736CE"/>
    <w:rsid w:val="67302DC3"/>
    <w:rsid w:val="674318B2"/>
    <w:rsid w:val="674D4B22"/>
    <w:rsid w:val="67534384"/>
    <w:rsid w:val="67570422"/>
    <w:rsid w:val="675D31B4"/>
    <w:rsid w:val="676D2F4B"/>
    <w:rsid w:val="676E2962"/>
    <w:rsid w:val="677A17D2"/>
    <w:rsid w:val="677A266A"/>
    <w:rsid w:val="677C1A81"/>
    <w:rsid w:val="67B163D1"/>
    <w:rsid w:val="67D365F8"/>
    <w:rsid w:val="67F45538"/>
    <w:rsid w:val="680239EB"/>
    <w:rsid w:val="68046AF5"/>
    <w:rsid w:val="680722DA"/>
    <w:rsid w:val="681938D1"/>
    <w:rsid w:val="682211D1"/>
    <w:rsid w:val="683E6C7D"/>
    <w:rsid w:val="68523B9A"/>
    <w:rsid w:val="685C6395"/>
    <w:rsid w:val="68607778"/>
    <w:rsid w:val="686318DD"/>
    <w:rsid w:val="68635145"/>
    <w:rsid w:val="687918F7"/>
    <w:rsid w:val="687F607E"/>
    <w:rsid w:val="688E25E2"/>
    <w:rsid w:val="68A34C5C"/>
    <w:rsid w:val="68C53CFA"/>
    <w:rsid w:val="68CA3183"/>
    <w:rsid w:val="68E24981"/>
    <w:rsid w:val="68E31B32"/>
    <w:rsid w:val="68F73307"/>
    <w:rsid w:val="69123F86"/>
    <w:rsid w:val="691C3525"/>
    <w:rsid w:val="69216128"/>
    <w:rsid w:val="69280874"/>
    <w:rsid w:val="693A417E"/>
    <w:rsid w:val="695D5355"/>
    <w:rsid w:val="695D6B21"/>
    <w:rsid w:val="695E22F2"/>
    <w:rsid w:val="69611EE7"/>
    <w:rsid w:val="696C708E"/>
    <w:rsid w:val="696F4D5D"/>
    <w:rsid w:val="69722623"/>
    <w:rsid w:val="69850877"/>
    <w:rsid w:val="698C13C5"/>
    <w:rsid w:val="69C8265A"/>
    <w:rsid w:val="69DC44FD"/>
    <w:rsid w:val="69EA1A07"/>
    <w:rsid w:val="69EE7649"/>
    <w:rsid w:val="69F0745A"/>
    <w:rsid w:val="6A1141CC"/>
    <w:rsid w:val="6A1D59EC"/>
    <w:rsid w:val="6A247F72"/>
    <w:rsid w:val="6A3E2393"/>
    <w:rsid w:val="6A435B92"/>
    <w:rsid w:val="6A444DB8"/>
    <w:rsid w:val="6A4D4828"/>
    <w:rsid w:val="6A516AC3"/>
    <w:rsid w:val="6A5303BA"/>
    <w:rsid w:val="6A677080"/>
    <w:rsid w:val="6A6F6AF1"/>
    <w:rsid w:val="6A711183"/>
    <w:rsid w:val="6A762B91"/>
    <w:rsid w:val="6A7925E0"/>
    <w:rsid w:val="6A7B4B9C"/>
    <w:rsid w:val="6AAF014C"/>
    <w:rsid w:val="6ACB082B"/>
    <w:rsid w:val="6AD3247E"/>
    <w:rsid w:val="6AD432DA"/>
    <w:rsid w:val="6AE308A6"/>
    <w:rsid w:val="6B1D6FAB"/>
    <w:rsid w:val="6B287FBE"/>
    <w:rsid w:val="6B2B0EFD"/>
    <w:rsid w:val="6B2C13E4"/>
    <w:rsid w:val="6B32585A"/>
    <w:rsid w:val="6B3F5380"/>
    <w:rsid w:val="6B4B0A4C"/>
    <w:rsid w:val="6B50310B"/>
    <w:rsid w:val="6B5045E2"/>
    <w:rsid w:val="6B63243A"/>
    <w:rsid w:val="6B736A2E"/>
    <w:rsid w:val="6B7C51E5"/>
    <w:rsid w:val="6B8170D6"/>
    <w:rsid w:val="6B884219"/>
    <w:rsid w:val="6B90781F"/>
    <w:rsid w:val="6BA9194F"/>
    <w:rsid w:val="6BB00FBD"/>
    <w:rsid w:val="6BBF4CB6"/>
    <w:rsid w:val="6BCC3362"/>
    <w:rsid w:val="6BDA15AC"/>
    <w:rsid w:val="6BE402C8"/>
    <w:rsid w:val="6BE727F5"/>
    <w:rsid w:val="6BFD6EE1"/>
    <w:rsid w:val="6C155534"/>
    <w:rsid w:val="6C170716"/>
    <w:rsid w:val="6C1B5387"/>
    <w:rsid w:val="6C240DF3"/>
    <w:rsid w:val="6C45610F"/>
    <w:rsid w:val="6C532E82"/>
    <w:rsid w:val="6C59472D"/>
    <w:rsid w:val="6C5A4564"/>
    <w:rsid w:val="6C603744"/>
    <w:rsid w:val="6C637CCF"/>
    <w:rsid w:val="6C6F3E1F"/>
    <w:rsid w:val="6C7802EB"/>
    <w:rsid w:val="6C79488C"/>
    <w:rsid w:val="6C7C3C95"/>
    <w:rsid w:val="6C7E2A0A"/>
    <w:rsid w:val="6C7E3E0E"/>
    <w:rsid w:val="6C89456C"/>
    <w:rsid w:val="6CA037CE"/>
    <w:rsid w:val="6CA20D5B"/>
    <w:rsid w:val="6CA7651B"/>
    <w:rsid w:val="6CCD2A39"/>
    <w:rsid w:val="6CD63FB3"/>
    <w:rsid w:val="6CD742CC"/>
    <w:rsid w:val="6D056EA6"/>
    <w:rsid w:val="6D06056F"/>
    <w:rsid w:val="6D221E52"/>
    <w:rsid w:val="6D227835"/>
    <w:rsid w:val="6D2B0A2A"/>
    <w:rsid w:val="6D2F1D94"/>
    <w:rsid w:val="6D311114"/>
    <w:rsid w:val="6D3851E6"/>
    <w:rsid w:val="6D3C6626"/>
    <w:rsid w:val="6D4B0E7D"/>
    <w:rsid w:val="6D5D0DB5"/>
    <w:rsid w:val="6D6855B1"/>
    <w:rsid w:val="6D7B4AB7"/>
    <w:rsid w:val="6D842A6D"/>
    <w:rsid w:val="6D89784B"/>
    <w:rsid w:val="6D9E0566"/>
    <w:rsid w:val="6DA32D3A"/>
    <w:rsid w:val="6DDC72CD"/>
    <w:rsid w:val="6DF43BD4"/>
    <w:rsid w:val="6E0B0D16"/>
    <w:rsid w:val="6E0E1FAB"/>
    <w:rsid w:val="6E122C8B"/>
    <w:rsid w:val="6E16333B"/>
    <w:rsid w:val="6E193EB1"/>
    <w:rsid w:val="6E2143FB"/>
    <w:rsid w:val="6E2C6EBD"/>
    <w:rsid w:val="6E317378"/>
    <w:rsid w:val="6E3C00E0"/>
    <w:rsid w:val="6E4215C6"/>
    <w:rsid w:val="6E4B0158"/>
    <w:rsid w:val="6E4D223F"/>
    <w:rsid w:val="6E4D611F"/>
    <w:rsid w:val="6E4F3D89"/>
    <w:rsid w:val="6E5413AD"/>
    <w:rsid w:val="6E567C9E"/>
    <w:rsid w:val="6E635028"/>
    <w:rsid w:val="6E636A71"/>
    <w:rsid w:val="6E685B0A"/>
    <w:rsid w:val="6E695F11"/>
    <w:rsid w:val="6E73404A"/>
    <w:rsid w:val="6E7355AA"/>
    <w:rsid w:val="6E7736BC"/>
    <w:rsid w:val="6E920B5B"/>
    <w:rsid w:val="6E990B16"/>
    <w:rsid w:val="6EB169D3"/>
    <w:rsid w:val="6EB67DEB"/>
    <w:rsid w:val="6EB829B1"/>
    <w:rsid w:val="6EB978A9"/>
    <w:rsid w:val="6EC42765"/>
    <w:rsid w:val="6ECC3A24"/>
    <w:rsid w:val="6ED86D3E"/>
    <w:rsid w:val="6EDD143D"/>
    <w:rsid w:val="6EDD7A49"/>
    <w:rsid w:val="6EDE559B"/>
    <w:rsid w:val="6EE9744F"/>
    <w:rsid w:val="6EEC3F7C"/>
    <w:rsid w:val="6EFE1485"/>
    <w:rsid w:val="6F031F8E"/>
    <w:rsid w:val="6F0425B3"/>
    <w:rsid w:val="6F0633BB"/>
    <w:rsid w:val="6F0D382C"/>
    <w:rsid w:val="6F1859D0"/>
    <w:rsid w:val="6F2632E8"/>
    <w:rsid w:val="6F30363A"/>
    <w:rsid w:val="6F3316E5"/>
    <w:rsid w:val="6F3A20F3"/>
    <w:rsid w:val="6F3F40F9"/>
    <w:rsid w:val="6F474F6D"/>
    <w:rsid w:val="6F6F14E1"/>
    <w:rsid w:val="6F85366A"/>
    <w:rsid w:val="6F90702F"/>
    <w:rsid w:val="6F9E1043"/>
    <w:rsid w:val="6FA629D4"/>
    <w:rsid w:val="6FA75ADB"/>
    <w:rsid w:val="6FB0079D"/>
    <w:rsid w:val="6FB744A4"/>
    <w:rsid w:val="6FB77ED4"/>
    <w:rsid w:val="6FBD4D2F"/>
    <w:rsid w:val="6FBE54C9"/>
    <w:rsid w:val="6FBF4710"/>
    <w:rsid w:val="6FC27371"/>
    <w:rsid w:val="6FC9109F"/>
    <w:rsid w:val="6FC973F7"/>
    <w:rsid w:val="6FCE5372"/>
    <w:rsid w:val="6FD222C4"/>
    <w:rsid w:val="6FDB518F"/>
    <w:rsid w:val="6FE529ED"/>
    <w:rsid w:val="6FF733A7"/>
    <w:rsid w:val="70003DD9"/>
    <w:rsid w:val="70072915"/>
    <w:rsid w:val="70172090"/>
    <w:rsid w:val="70195E88"/>
    <w:rsid w:val="701D2B73"/>
    <w:rsid w:val="701D43BA"/>
    <w:rsid w:val="701E1483"/>
    <w:rsid w:val="702728D9"/>
    <w:rsid w:val="702B6F43"/>
    <w:rsid w:val="7032079E"/>
    <w:rsid w:val="703C186A"/>
    <w:rsid w:val="70570007"/>
    <w:rsid w:val="706A1AFA"/>
    <w:rsid w:val="70822BAD"/>
    <w:rsid w:val="708746BC"/>
    <w:rsid w:val="708F7F54"/>
    <w:rsid w:val="709E3D85"/>
    <w:rsid w:val="70AA583F"/>
    <w:rsid w:val="70AC660B"/>
    <w:rsid w:val="70B17138"/>
    <w:rsid w:val="70BB2EF0"/>
    <w:rsid w:val="70BC2801"/>
    <w:rsid w:val="70C6646C"/>
    <w:rsid w:val="70FC2D1E"/>
    <w:rsid w:val="71015D6B"/>
    <w:rsid w:val="711059F7"/>
    <w:rsid w:val="71144B84"/>
    <w:rsid w:val="71151975"/>
    <w:rsid w:val="71336A65"/>
    <w:rsid w:val="713B5291"/>
    <w:rsid w:val="71473A79"/>
    <w:rsid w:val="71545B37"/>
    <w:rsid w:val="71573E01"/>
    <w:rsid w:val="71596474"/>
    <w:rsid w:val="716D7A3B"/>
    <w:rsid w:val="71702748"/>
    <w:rsid w:val="717F0007"/>
    <w:rsid w:val="71867894"/>
    <w:rsid w:val="719F7A78"/>
    <w:rsid w:val="71C20005"/>
    <w:rsid w:val="71C7444E"/>
    <w:rsid w:val="71C7540C"/>
    <w:rsid w:val="71F64A63"/>
    <w:rsid w:val="71F870B8"/>
    <w:rsid w:val="72021233"/>
    <w:rsid w:val="720B2A1D"/>
    <w:rsid w:val="72174817"/>
    <w:rsid w:val="7231040E"/>
    <w:rsid w:val="72430D76"/>
    <w:rsid w:val="72445E9B"/>
    <w:rsid w:val="72614063"/>
    <w:rsid w:val="72671940"/>
    <w:rsid w:val="727C422C"/>
    <w:rsid w:val="7292045A"/>
    <w:rsid w:val="72974DBE"/>
    <w:rsid w:val="72A20C20"/>
    <w:rsid w:val="72AC5E95"/>
    <w:rsid w:val="72AE20F2"/>
    <w:rsid w:val="72B078E9"/>
    <w:rsid w:val="72C13ED7"/>
    <w:rsid w:val="72CA3BE3"/>
    <w:rsid w:val="72CF1AC7"/>
    <w:rsid w:val="72DB144B"/>
    <w:rsid w:val="72E42AFA"/>
    <w:rsid w:val="72E671B2"/>
    <w:rsid w:val="72E75711"/>
    <w:rsid w:val="72E85578"/>
    <w:rsid w:val="72EB4466"/>
    <w:rsid w:val="72EE11C3"/>
    <w:rsid w:val="72F92C7F"/>
    <w:rsid w:val="72FD426E"/>
    <w:rsid w:val="73043CFC"/>
    <w:rsid w:val="73161882"/>
    <w:rsid w:val="732A53EB"/>
    <w:rsid w:val="732C334F"/>
    <w:rsid w:val="733C79C6"/>
    <w:rsid w:val="733F51AD"/>
    <w:rsid w:val="73494287"/>
    <w:rsid w:val="734D52BA"/>
    <w:rsid w:val="734F0C79"/>
    <w:rsid w:val="734F4185"/>
    <w:rsid w:val="73520620"/>
    <w:rsid w:val="735B10CF"/>
    <w:rsid w:val="735B578C"/>
    <w:rsid w:val="736249E3"/>
    <w:rsid w:val="7363274A"/>
    <w:rsid w:val="73691A4A"/>
    <w:rsid w:val="737807F3"/>
    <w:rsid w:val="737F155E"/>
    <w:rsid w:val="7388529A"/>
    <w:rsid w:val="738A6895"/>
    <w:rsid w:val="73B04FAB"/>
    <w:rsid w:val="73BC7089"/>
    <w:rsid w:val="73BC725F"/>
    <w:rsid w:val="73BE7067"/>
    <w:rsid w:val="73E52294"/>
    <w:rsid w:val="73EF457F"/>
    <w:rsid w:val="73FF2D64"/>
    <w:rsid w:val="74137154"/>
    <w:rsid w:val="741A4286"/>
    <w:rsid w:val="74257F79"/>
    <w:rsid w:val="74273820"/>
    <w:rsid w:val="7427471C"/>
    <w:rsid w:val="74277098"/>
    <w:rsid w:val="742D7FA7"/>
    <w:rsid w:val="74355B0B"/>
    <w:rsid w:val="743C7157"/>
    <w:rsid w:val="74416F54"/>
    <w:rsid w:val="744B354F"/>
    <w:rsid w:val="7450294E"/>
    <w:rsid w:val="745E5245"/>
    <w:rsid w:val="74615D25"/>
    <w:rsid w:val="746B732F"/>
    <w:rsid w:val="746E18CB"/>
    <w:rsid w:val="74885F0B"/>
    <w:rsid w:val="748D52FA"/>
    <w:rsid w:val="74993216"/>
    <w:rsid w:val="74B021C6"/>
    <w:rsid w:val="74B44784"/>
    <w:rsid w:val="74B808BF"/>
    <w:rsid w:val="74ED6DC4"/>
    <w:rsid w:val="75084E8F"/>
    <w:rsid w:val="751122B7"/>
    <w:rsid w:val="751F214A"/>
    <w:rsid w:val="75202656"/>
    <w:rsid w:val="753C7073"/>
    <w:rsid w:val="75472D8D"/>
    <w:rsid w:val="755743A4"/>
    <w:rsid w:val="75632490"/>
    <w:rsid w:val="75656DE5"/>
    <w:rsid w:val="7567120A"/>
    <w:rsid w:val="75752B04"/>
    <w:rsid w:val="75845A54"/>
    <w:rsid w:val="758910BB"/>
    <w:rsid w:val="75955DA9"/>
    <w:rsid w:val="75977910"/>
    <w:rsid w:val="759F2A35"/>
    <w:rsid w:val="75B15C41"/>
    <w:rsid w:val="75B25EA1"/>
    <w:rsid w:val="75C54845"/>
    <w:rsid w:val="75C76C47"/>
    <w:rsid w:val="75D12923"/>
    <w:rsid w:val="75EA364B"/>
    <w:rsid w:val="75F20996"/>
    <w:rsid w:val="75F96973"/>
    <w:rsid w:val="75FE5A56"/>
    <w:rsid w:val="760E1952"/>
    <w:rsid w:val="76123E1D"/>
    <w:rsid w:val="762A17C0"/>
    <w:rsid w:val="76425118"/>
    <w:rsid w:val="764838B9"/>
    <w:rsid w:val="764B15DA"/>
    <w:rsid w:val="764C09B4"/>
    <w:rsid w:val="764F5A52"/>
    <w:rsid w:val="766A4A0D"/>
    <w:rsid w:val="766B37EE"/>
    <w:rsid w:val="767C18AE"/>
    <w:rsid w:val="7692667A"/>
    <w:rsid w:val="7693567A"/>
    <w:rsid w:val="76982273"/>
    <w:rsid w:val="769A7352"/>
    <w:rsid w:val="76A177B8"/>
    <w:rsid w:val="76AD2761"/>
    <w:rsid w:val="76B2071B"/>
    <w:rsid w:val="76B64E53"/>
    <w:rsid w:val="76B8001A"/>
    <w:rsid w:val="76BC314A"/>
    <w:rsid w:val="76CF29D3"/>
    <w:rsid w:val="76DC7E3D"/>
    <w:rsid w:val="76E33ABE"/>
    <w:rsid w:val="76E52E89"/>
    <w:rsid w:val="76EC51FD"/>
    <w:rsid w:val="76ED32B6"/>
    <w:rsid w:val="76F410B8"/>
    <w:rsid w:val="77070DB8"/>
    <w:rsid w:val="77194245"/>
    <w:rsid w:val="771B67DF"/>
    <w:rsid w:val="77451578"/>
    <w:rsid w:val="77464BD7"/>
    <w:rsid w:val="77692EA3"/>
    <w:rsid w:val="777C21C8"/>
    <w:rsid w:val="77825248"/>
    <w:rsid w:val="7785098B"/>
    <w:rsid w:val="77870D91"/>
    <w:rsid w:val="778A3229"/>
    <w:rsid w:val="778D28C3"/>
    <w:rsid w:val="779258CC"/>
    <w:rsid w:val="7794068F"/>
    <w:rsid w:val="779A096B"/>
    <w:rsid w:val="779B52FF"/>
    <w:rsid w:val="77A00E75"/>
    <w:rsid w:val="77A80D17"/>
    <w:rsid w:val="77B841F3"/>
    <w:rsid w:val="77C078B1"/>
    <w:rsid w:val="77C759CB"/>
    <w:rsid w:val="77E66E3C"/>
    <w:rsid w:val="77EA17B7"/>
    <w:rsid w:val="77F34529"/>
    <w:rsid w:val="77F3789A"/>
    <w:rsid w:val="77F865B2"/>
    <w:rsid w:val="780326B9"/>
    <w:rsid w:val="78034B6F"/>
    <w:rsid w:val="7833711D"/>
    <w:rsid w:val="78413251"/>
    <w:rsid w:val="78497C2E"/>
    <w:rsid w:val="7854087B"/>
    <w:rsid w:val="78572CFF"/>
    <w:rsid w:val="785C3834"/>
    <w:rsid w:val="786A4053"/>
    <w:rsid w:val="78782A0D"/>
    <w:rsid w:val="787B5060"/>
    <w:rsid w:val="787E0AC5"/>
    <w:rsid w:val="788720E7"/>
    <w:rsid w:val="78A90B04"/>
    <w:rsid w:val="78AE558D"/>
    <w:rsid w:val="78BD69DE"/>
    <w:rsid w:val="78C53485"/>
    <w:rsid w:val="78C76A01"/>
    <w:rsid w:val="78EC45D8"/>
    <w:rsid w:val="78EC6DF0"/>
    <w:rsid w:val="78F5335B"/>
    <w:rsid w:val="791843E7"/>
    <w:rsid w:val="792415EC"/>
    <w:rsid w:val="792730E6"/>
    <w:rsid w:val="79332105"/>
    <w:rsid w:val="79395A92"/>
    <w:rsid w:val="793A736F"/>
    <w:rsid w:val="794008FB"/>
    <w:rsid w:val="794708D9"/>
    <w:rsid w:val="794B21A1"/>
    <w:rsid w:val="7964574A"/>
    <w:rsid w:val="797A505D"/>
    <w:rsid w:val="79830E6C"/>
    <w:rsid w:val="79916C4B"/>
    <w:rsid w:val="79941CF2"/>
    <w:rsid w:val="79973382"/>
    <w:rsid w:val="79BA66DB"/>
    <w:rsid w:val="79D33056"/>
    <w:rsid w:val="79EC0256"/>
    <w:rsid w:val="79F60153"/>
    <w:rsid w:val="79FB6E2C"/>
    <w:rsid w:val="7A000A00"/>
    <w:rsid w:val="7A211BEB"/>
    <w:rsid w:val="7A2E2677"/>
    <w:rsid w:val="7A4C2D60"/>
    <w:rsid w:val="7A5E32E2"/>
    <w:rsid w:val="7A6E4BF5"/>
    <w:rsid w:val="7A7A1A54"/>
    <w:rsid w:val="7A805A0E"/>
    <w:rsid w:val="7A851D5D"/>
    <w:rsid w:val="7A8A2267"/>
    <w:rsid w:val="7A8F43F6"/>
    <w:rsid w:val="7A92511C"/>
    <w:rsid w:val="7A9F6F88"/>
    <w:rsid w:val="7AB53126"/>
    <w:rsid w:val="7AB76FE8"/>
    <w:rsid w:val="7AD268E2"/>
    <w:rsid w:val="7ADC0950"/>
    <w:rsid w:val="7ADC0B33"/>
    <w:rsid w:val="7AE14C19"/>
    <w:rsid w:val="7AEA174E"/>
    <w:rsid w:val="7AEC1B31"/>
    <w:rsid w:val="7B274176"/>
    <w:rsid w:val="7B2D7590"/>
    <w:rsid w:val="7B307D4E"/>
    <w:rsid w:val="7B351398"/>
    <w:rsid w:val="7B356407"/>
    <w:rsid w:val="7B401C79"/>
    <w:rsid w:val="7B440ED6"/>
    <w:rsid w:val="7B4611D7"/>
    <w:rsid w:val="7B4678D7"/>
    <w:rsid w:val="7B4B2A93"/>
    <w:rsid w:val="7B527515"/>
    <w:rsid w:val="7B5922B3"/>
    <w:rsid w:val="7B6569FF"/>
    <w:rsid w:val="7B890A24"/>
    <w:rsid w:val="7BAA485C"/>
    <w:rsid w:val="7BAD1591"/>
    <w:rsid w:val="7BAF117E"/>
    <w:rsid w:val="7BB04D57"/>
    <w:rsid w:val="7BD3716B"/>
    <w:rsid w:val="7BD77797"/>
    <w:rsid w:val="7BEC2711"/>
    <w:rsid w:val="7BF55850"/>
    <w:rsid w:val="7BFE117C"/>
    <w:rsid w:val="7C047802"/>
    <w:rsid w:val="7C1054B7"/>
    <w:rsid w:val="7C143FB0"/>
    <w:rsid w:val="7C190A33"/>
    <w:rsid w:val="7C21195F"/>
    <w:rsid w:val="7C26369C"/>
    <w:rsid w:val="7C2A465C"/>
    <w:rsid w:val="7C305879"/>
    <w:rsid w:val="7C321B3F"/>
    <w:rsid w:val="7C34521A"/>
    <w:rsid w:val="7C4A2BD1"/>
    <w:rsid w:val="7C4F775D"/>
    <w:rsid w:val="7C576C70"/>
    <w:rsid w:val="7C5B0211"/>
    <w:rsid w:val="7C6D5985"/>
    <w:rsid w:val="7C701814"/>
    <w:rsid w:val="7C77043F"/>
    <w:rsid w:val="7C77330E"/>
    <w:rsid w:val="7C8A7CDC"/>
    <w:rsid w:val="7C9E5A24"/>
    <w:rsid w:val="7CB4006B"/>
    <w:rsid w:val="7CB93ABB"/>
    <w:rsid w:val="7CCD2199"/>
    <w:rsid w:val="7CE656F0"/>
    <w:rsid w:val="7CE87FE8"/>
    <w:rsid w:val="7CED34FF"/>
    <w:rsid w:val="7CEE5458"/>
    <w:rsid w:val="7CF26588"/>
    <w:rsid w:val="7CF305CD"/>
    <w:rsid w:val="7CF565D7"/>
    <w:rsid w:val="7CFA3A46"/>
    <w:rsid w:val="7D0F5720"/>
    <w:rsid w:val="7D117609"/>
    <w:rsid w:val="7D1F61D2"/>
    <w:rsid w:val="7D260EB6"/>
    <w:rsid w:val="7D2E198F"/>
    <w:rsid w:val="7D366D67"/>
    <w:rsid w:val="7D3B3737"/>
    <w:rsid w:val="7D3D73AF"/>
    <w:rsid w:val="7D420743"/>
    <w:rsid w:val="7D5B27C9"/>
    <w:rsid w:val="7D62117D"/>
    <w:rsid w:val="7D666D1A"/>
    <w:rsid w:val="7D816CE5"/>
    <w:rsid w:val="7D834A16"/>
    <w:rsid w:val="7D855CE9"/>
    <w:rsid w:val="7D9D438F"/>
    <w:rsid w:val="7DA514D2"/>
    <w:rsid w:val="7DCD4EB5"/>
    <w:rsid w:val="7DF83D1A"/>
    <w:rsid w:val="7DFF415C"/>
    <w:rsid w:val="7E090313"/>
    <w:rsid w:val="7E1C2730"/>
    <w:rsid w:val="7E2E4C94"/>
    <w:rsid w:val="7E3E0B9F"/>
    <w:rsid w:val="7E3E0FEC"/>
    <w:rsid w:val="7E3E1EF2"/>
    <w:rsid w:val="7E436D4C"/>
    <w:rsid w:val="7E5949B5"/>
    <w:rsid w:val="7E5C1ABA"/>
    <w:rsid w:val="7E62165E"/>
    <w:rsid w:val="7E622778"/>
    <w:rsid w:val="7E6553B9"/>
    <w:rsid w:val="7E756346"/>
    <w:rsid w:val="7E85174A"/>
    <w:rsid w:val="7E851FBF"/>
    <w:rsid w:val="7E8B4DC2"/>
    <w:rsid w:val="7EAA7C26"/>
    <w:rsid w:val="7EAF1FAA"/>
    <w:rsid w:val="7EB1719A"/>
    <w:rsid w:val="7EB4653A"/>
    <w:rsid w:val="7EC06781"/>
    <w:rsid w:val="7ECA4601"/>
    <w:rsid w:val="7EDC02B0"/>
    <w:rsid w:val="7EDC22AD"/>
    <w:rsid w:val="7EE34086"/>
    <w:rsid w:val="7EE55F89"/>
    <w:rsid w:val="7EEB5719"/>
    <w:rsid w:val="7EF215E8"/>
    <w:rsid w:val="7EF525E1"/>
    <w:rsid w:val="7EF74FC9"/>
    <w:rsid w:val="7F0C2035"/>
    <w:rsid w:val="7F0F7992"/>
    <w:rsid w:val="7F1B0865"/>
    <w:rsid w:val="7F271AA3"/>
    <w:rsid w:val="7F332190"/>
    <w:rsid w:val="7F3843DF"/>
    <w:rsid w:val="7F470F76"/>
    <w:rsid w:val="7F5131F8"/>
    <w:rsid w:val="7F542B37"/>
    <w:rsid w:val="7F6B2248"/>
    <w:rsid w:val="7F7D7A8E"/>
    <w:rsid w:val="7F872588"/>
    <w:rsid w:val="7F8725BA"/>
    <w:rsid w:val="7F8C6A8F"/>
    <w:rsid w:val="7F961D37"/>
    <w:rsid w:val="7F980F2D"/>
    <w:rsid w:val="7F9C175D"/>
    <w:rsid w:val="7FA85877"/>
    <w:rsid w:val="7FB431A7"/>
    <w:rsid w:val="7FDC52B9"/>
    <w:rsid w:val="7FDD0795"/>
    <w:rsid w:val="7FE653BC"/>
    <w:rsid w:val="7FEA5C65"/>
    <w:rsid w:val="7FED1E7B"/>
    <w:rsid w:val="7FF25F1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semiHidden/>
    <w:qFormat/>
    <w:uiPriority w:val="0"/>
    <w:pPr>
      <w:ind w:left="851"/>
    </w:p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basedOn w:val="25"/>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2024-08-09T06:35:06Z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AF1F3577D5384F0DB2A0A25E3A3063ED</vt:lpwstr>
  </property>
</Properties>
</file>